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eb9e3e14b4858" /></Relationships>
</file>

<file path=word/document.xml><?xml version="1.0" encoding="utf-8"?>
<w:document xmlns:w="http://schemas.openxmlformats.org/wordprocessingml/2006/main">
  <w:body>
    <w:p>
      <w:r>
        <w:t>H-1594.2</w:t>
      </w:r>
    </w:p>
    <w:p>
      <w:pPr>
        <w:jc w:val="center"/>
      </w:pPr>
      <w:r>
        <w:t>_______________________________________________</w:t>
      </w:r>
    </w:p>
    <w:p/>
    <w:p>
      <w:pPr>
        <w:jc w:val="center"/>
      </w:pPr>
      <w:r>
        <w:rPr>
          <w:b/>
        </w:rPr>
        <w:t>HOUSE BILL 2052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MacEwen, Kloba, and Reeves</w:t>
      </w:r>
    </w:p>
    <w:p/>
    <w:p>
      <w:r>
        <w:rPr>
          <w:t xml:space="preserve">Read first time 02/14/19.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marijuana product testing by revising provisions concerning marijuana testing laboratory accreditation and establishing a cannabis science task force; amending RCW 69.50.348, 69.50.348, and 69.50.345; adding new sections to chapter 43.21A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RCW 69.50.342</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department of ecology may determine, assess, and collect annual fees sufficient to cover the direct and indirect costs of implementing </w:t>
      </w:r>
      <w:r>
        <w:rPr>
          <w:u w:val="single"/>
        </w:rPr>
        <w:t xml:space="preserve">a state marijuana product testing laboratory accreditation program from laboratories seeking marijuana product testing accreditation or renewal.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administration costs, program development costs,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(a) Evaluating the protocols and procedures used by a laboratory;</w:t>
      </w:r>
    </w:p>
    <w:p>
      <w:pPr>
        <w:spacing w:before="0" w:after="0" w:line="408" w:lineRule="exact"/>
        <w:ind w:left="0" w:right="0" w:firstLine="576"/>
        <w:jc w:val="left"/>
      </w:pPr>
      <w:r>
        <w:rPr>
          <w:u w:val="single"/>
        </w:rPr>
        <w:t xml:space="preserve">(b) Performing on-site audits;</w:t>
      </w:r>
    </w:p>
    <w:p>
      <w:pPr>
        <w:spacing w:before="0" w:after="0" w:line="408" w:lineRule="exact"/>
        <w:ind w:left="0" w:right="0" w:firstLine="576"/>
        <w:jc w:val="left"/>
      </w:pPr>
      <w:r>
        <w:rPr>
          <w:u w:val="single"/>
        </w:rPr>
        <w:t xml:space="preserve">(c) Evaluating participation and successful completion of proficiency testing;</w:t>
      </w:r>
    </w:p>
    <w:p>
      <w:pPr>
        <w:spacing w:before="0" w:after="0" w:line="408" w:lineRule="exact"/>
        <w:ind w:left="0" w:right="0" w:firstLine="576"/>
        <w:jc w:val="left"/>
      </w:pPr>
      <w:r>
        <w:rPr>
          <w:u w:val="single"/>
        </w:rPr>
        <w:t xml:space="preserve">(d) Determining the capability of a laboratory to produce accurate and reliable test results; and</w:t>
      </w:r>
    </w:p>
    <w:p>
      <w:pPr>
        <w:spacing w:before="0" w:after="0" w:line="408" w:lineRule="exact"/>
        <w:ind w:left="0" w:right="0" w:firstLine="576"/>
        <w:jc w:val="left"/>
      </w:pPr>
      <w:r>
        <w:rPr>
          <w:u w:val="single"/>
        </w:rPr>
        <w:t xml:space="preserve">(e) Such other accreditation activities as the department of ecology deems appropriate.</w:t>
      </w:r>
    </w:p>
    <w:p>
      <w:pPr>
        <w:spacing w:before="0" w:after="0" w:line="408" w:lineRule="exact"/>
        <w:ind w:left="0" w:right="0" w:firstLine="576"/>
        <w:jc w:val="left"/>
      </w:pPr>
      <w:r>
        <w:rPr>
          <w:u w:val="single"/>
        </w:rPr>
        <w:t xml:space="preserve">(5) The department of ecology and the liquor and cannabis board must act cooperatively to ensure effective implementation and administration of this section.</w:t>
      </w:r>
    </w:p>
    <w:p>
      <w:pPr>
        <w:spacing w:before="0" w:after="0" w:line="408" w:lineRule="exact"/>
        <w:ind w:left="0" w:right="0" w:firstLine="576"/>
        <w:jc w:val="left"/>
      </w:pPr>
      <w:r>
        <w:rPr>
          <w:u w:val="single"/>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departments of agriculture, ecology, and health, and the liquor and cannabis board must each appoint one representative.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from state and local agencies, and tribal and local governments with expertise in chemistry, microbiology, toxicology, public health, and/or food and agricultural testing methods;</w:t>
      </w:r>
    </w:p>
    <w:p>
      <w:pPr>
        <w:spacing w:before="0" w:after="0" w:line="408" w:lineRule="exact"/>
        <w:ind w:left="0" w:right="0" w:firstLine="576"/>
        <w:jc w:val="left"/>
      </w:pPr>
      <w:r>
        <w:rPr/>
        <w:t xml:space="preserve">(B) Representatives from state and local agencies, and tribal and local governments with expertise in chemistry, microbiology, toxicology, public health, and/or food and agricultural testing methods; and</w:t>
      </w:r>
    </w:p>
    <w:p>
      <w:pPr>
        <w:spacing w:before="0" w:after="0" w:line="408" w:lineRule="exact"/>
        <w:ind w:left="0" w:right="0" w:firstLine="576"/>
        <w:jc w:val="left"/>
      </w:pPr>
      <w:r>
        <w:rPr/>
        <w:t xml:space="preserve">(C) Nongovernmental cannabis industry scientists.</w:t>
      </w:r>
    </w:p>
    <w:p>
      <w:pPr>
        <w:spacing w:before="0" w:after="0" w:line="408" w:lineRule="exact"/>
        <w:ind w:left="0" w:right="0" w:firstLine="576"/>
        <w:jc w:val="left"/>
      </w:pPr>
      <w:r>
        <w:rPr/>
        <w:t xml:space="preserve">(b) The representative from the department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cannabis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w:t>
      </w:r>
    </w:p>
    <w:p>
      <w:pPr>
        <w:spacing w:before="0" w:after="0" w:line="408" w:lineRule="exact"/>
        <w:ind w:left="0" w:right="0" w:firstLine="576"/>
        <w:jc w:val="left"/>
      </w:pPr>
      <w:r>
        <w:rPr/>
        <w:t xml:space="preserve">(b) The cannabis science task force may create additional advisory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December 1, 2020, that includes the findings and recommendations for laboratory quality standards for cannabis testing laboratories. The report must specifically include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 and</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(7) The task force must meet at least four times during 2019, with the first meeting held by September 1, 2019.</w:t>
      </w:r>
    </w:p>
    <w:p>
      <w:pPr>
        <w:spacing w:before="0" w:after="0" w:line="408" w:lineRule="exact"/>
        <w:ind w:left="0" w:right="0" w:firstLine="576"/>
        <w:jc w:val="left"/>
      </w:pPr>
      <w:r>
        <w:rPr/>
        <w:t xml:space="preserve">(8)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By July 1, 2022, the department must, in consultation with the liquor and cannabis board, adopt rules to implement section 2, chapter . . ., Laws of 2019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w:t>
      </w:r>
      <w:r>
        <w:t>((</w:t>
      </w:r>
      <w:r>
        <w:rPr>
          <w:strike/>
        </w:rPr>
        <w:t xml:space="preserve">establishing accreditation requirements for testing laboratories used by licensees to demonstrate compliance with standards adopted by the state liquor and cannabis board, and</w:t>
      </w:r>
      <w:r>
        <w:t>))</w:t>
      </w:r>
      <w:r>
        <w:rPr/>
        <w:t xml:space="preserv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6280b4e313a49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c9e81c4eb4efe" /><Relationship Type="http://schemas.openxmlformats.org/officeDocument/2006/relationships/footer" Target="/word/footer1.xml" Id="R66280b4e313a49e1" /></Relationships>
</file>