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e4b38e9ae40a1" /></Relationships>
</file>

<file path=word/document.xml><?xml version="1.0" encoding="utf-8"?>
<w:document xmlns:w="http://schemas.openxmlformats.org/wordprocessingml/2006/main">
  <w:body>
    <w:p>
      <w:r>
        <w:t>H-1787.1</w:t>
      </w:r>
    </w:p>
    <w:p>
      <w:pPr>
        <w:jc w:val="center"/>
      </w:pPr>
      <w:r>
        <w:t>_______________________________________________</w:t>
      </w:r>
    </w:p>
    <w:p/>
    <w:p>
      <w:pPr>
        <w:jc w:val="center"/>
      </w:pPr>
      <w:r>
        <w:rPr>
          <w:b/>
        </w:rPr>
        <w:t>SUBSTITUTE HOUSE BILL 2069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Dufault, Springer, Santos, Dent, Reeves, DeBolt, Kirby, Harris, Walen, Caldier, Jinkins, Steele, Pollet, Paul, Barkis, Irwin, Lovick, Eslick, Van Werven, Walsh, Fey, Frame, Callan, Shewmake, Valdez, Peterson, Senn, and Leavitt)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owner's or tenant's liability for delinquent and unpaid utility service charges; amending RCW 60.80.010, 60.80.020, and 35.21.290; adding a new section to chapter 35.21 RCW; and repealing RCW 35.21.217.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Prior to furnishing utility services, a city or town may require a deposit to guarantee payment for services. However, failure to require a deposit does not affect the validity of any lien authorized by RCW 35.67.200. A city or town may determine how to apply partial payments on past due accounts.</w:t>
      </w:r>
    </w:p>
    <w:p>
      <w:pPr>
        <w:spacing w:before="0" w:after="0" w:line="408" w:lineRule="exact"/>
        <w:ind w:left="0" w:right="0" w:firstLine="576"/>
        <w:jc w:val="left"/>
      </w:pPr>
      <w:r>
        <w:rPr/>
        <w:t xml:space="preserve">(2)(a)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rPr/>
        <w:t xml:space="preserve">(b) When a city or town provides utility services to someone other than the owner of the property, the city or town is prohibited from collecting delinquent utility charges from the owner or the owner's designee.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t xml:space="preserve">(c) When a city or town provides utility services to a new residential tenant utility customer, the city or town is prohibited from collecting delinquent utility charges connected to the property or premises from the new customer. A new residential tenant utility customer does not include a person who lived on the property or premises with the residential tenant utility customer whose name is listed on the delinquent utility account.</w:t>
      </w:r>
    </w:p>
    <w:p>
      <w:pPr>
        <w:spacing w:before="0" w:after="0" w:line="408" w:lineRule="exact"/>
        <w:ind w:left="0" w:right="0" w:firstLine="576"/>
        <w:jc w:val="left"/>
      </w:pPr>
      <w:r>
        <w:rPr/>
        <w:t xml:space="preserve">(3)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w:t>
      </w:r>
    </w:p>
    <w:p>
      <w:pPr>
        <w:spacing w:before="0" w:after="0" w:line="408" w:lineRule="exact"/>
        <w:ind w:left="0" w:right="0" w:firstLine="576"/>
        <w:jc w:val="left"/>
      </w:pPr>
      <w:r>
        <w:rPr/>
        <w:t xml:space="preserve">(4) In no case may cities or towns owning their own utility: (a) Require a property owner or the owner's designee to pay a delinquent utility bill in a tenant's name; or (b) have a lien against the premises of the property owner for a residential tenant's delinquent and unpaid utility charges when the utility account is in the tenant's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t xml:space="preserve">Except as provided in RCW 35.21.217(4) </w:t>
      </w:r>
      <w:r>
        <w:rPr>
          <w:u w:val="single"/>
        </w:rPr>
        <w:t xml:space="preserve">and section 1(4) of this act</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(Utility services</w:t>
      </w:r>
      <w:r>
        <w:rPr>
          <w:rFonts w:ascii="Times New Roman" w:hAnsi="Times New Roman"/>
        </w:rPr>
        <w:t xml:space="preserve">—</w:t>
      </w:r>
      <w:r>
        <w:rPr/>
        <w:t xml:space="preserve">Deposit</w:t>
      </w:r>
      <w:r>
        <w:rPr>
          <w:rFonts w:ascii="Times New Roman" w:hAnsi="Times New Roman"/>
        </w:rPr>
        <w:t xml:space="preserve">—</w:t>
      </w:r>
      <w:r>
        <w:rPr/>
        <w:t xml:space="preserve">Tenants' delinquencies</w:t>
      </w:r>
      <w:r>
        <w:rPr>
          <w:rFonts w:ascii="Times New Roman" w:hAnsi="Times New Roman"/>
        </w:rPr>
        <w:t xml:space="preserve">—</w:t>
      </w:r>
      <w:r>
        <w:rPr/>
        <w:t xml:space="preserve">Notice</w:t>
      </w:r>
      <w:r>
        <w:rPr>
          <w:rFonts w:ascii="Times New Roman" w:hAnsi="Times New Roman"/>
        </w:rPr>
        <w:t xml:space="preserve">—</w:t>
      </w:r>
      <w:r>
        <w:rPr/>
        <w:t xml:space="preserve">Lien) and 2011 c 151 s 5, 2010 c 135 s 1, &amp; 1998 c 285 s 1 are each repealed.</w:t>
      </w:r>
    </w:p>
    <w:p/>
    <w:p>
      <w:pPr>
        <w:jc w:val="center"/>
      </w:pPr>
      <w:r>
        <w:rPr>
          <w:b/>
        </w:rPr>
        <w:t>--- END ---</w:t>
      </w:r>
    </w:p>
    <w:sectPr>
      <w:pgNumType w:start="1"/>
      <w:footerReference xmlns:r="http://schemas.openxmlformats.org/officeDocument/2006/relationships" r:id="R81e22bb99d0d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4cc62928243d0" /><Relationship Type="http://schemas.openxmlformats.org/officeDocument/2006/relationships/footer" Target="/word/footer1.xml" Id="R81e22bb99d0d495e" /></Relationships>
</file>