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5bf168d5cd4d28" /></Relationships>
</file>

<file path=word/document.xml><?xml version="1.0" encoding="utf-8"?>
<w:document xmlns:w="http://schemas.openxmlformats.org/wordprocessingml/2006/main">
  <w:body>
    <w:p>
      <w:r>
        <w:t>H-1962.2</w:t>
      </w:r>
    </w:p>
    <w:p>
      <w:pPr>
        <w:jc w:val="center"/>
      </w:pPr>
      <w:r>
        <w:t>_______________________________________________</w:t>
      </w:r>
    </w:p>
    <w:p/>
    <w:p>
      <w:pPr>
        <w:jc w:val="center"/>
      </w:pPr>
      <w:r>
        <w:rPr>
          <w:b/>
        </w:rPr>
        <w:t>HOUSE BILL 2132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Slatter, Ryu, Walen, Valdez, and Thai</w:t>
      </w:r>
    </w:p>
    <w:p/>
    <w:p>
      <w:r>
        <w:rPr>
          <w:t xml:space="preserve">Read first time 03/01/19.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the planned construction of various facilities, by advancing construction, issuing bonds, and tolling portions of Interstate 405, state route number 167, and state route number 509; amending RCW 47.10.882, 47.10.887, 47.10.888, 47.56.880, and 47.56.884; reenacting and amending RCW 43.84.092; adding new sections to chapter 47.10 RCW; adding new sections to chapter 47.56 RCW; creating new sections; repealing RCW 47.56.403;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combined Interstate number 405 and state route number 167 corridor in King county serves as an ideal candidate for an express toll lanes network. The express toll lanes network provides a tool for managing the use of high occupancy vehicle lanes while generating funds to improve projects in the corridor.</w:t>
      </w:r>
    </w:p>
    <w:p>
      <w:pPr>
        <w:spacing w:before="0" w:after="0" w:line="408" w:lineRule="exact"/>
        <w:ind w:left="0" w:right="0" w:firstLine="576"/>
        <w:jc w:val="left"/>
      </w:pPr>
      <w:r>
        <w:rPr/>
        <w:t xml:space="preserve">(4) Therefore, it is the intent of this act to expedite the delivery of the Puget Sound Gateway project, designate the Puget Sound Gateway project as an eligible toll facility, and authorize the imposition of tolls on the Puget Sound Gateway facility. It is further the intent of this act to direct the department of transportation to develop and operate an express toll lanes corridor on Interstate 405 from the city of Lynnwood on the north end to the intersection of state route number 167 and state route number 512 on the south 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the Interstate 405 and state route number 167 eligible toll facility projects, as allowed in RCW 47.56.880, there shall be issued and sold upon the request of the department of transportation a total of one billion five hundred million dollars of general obligation bonds of the state of Washington first payable from toll revenue and excise taxes on motor vehicle and special fuels in accordance with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the state finance committee shall supervise and provide for the issuance, sale, and retirement of bonds authorized by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this act shall be deposited in the Interstate 405 and state route number 167 express toll lanes operations account created under RCW 47.56.884 and shall be available only for the purposes enumerated in section 1, chapter . . ., Laws of 2019 (section 1 of this act), for the payment of bond anticipation notes or other interim financing, if any, capitalizing interest on the bonds,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2, 6, and 7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of and interest on the bonds shall be first payable in the manner provided in this section and sections 2, 6, and 7 of this act from toll revenue and then from proceeds of excise taxes on motor vehicle and special fuels to the extent toll revenue is not available for that purpose. Toll revenue and the state excise taxes on motor vehicle and special fuels imposed by chapter 82.38 RCW are hereby pledged to the payment of any bonds and the interest thereon issued under the authority of this section and sections 2, 6, and 7 of this act, and the legislature agrees to continue to impose these toll charges on the Interstate 405 and state route number 167 eligible toll facility, and on any other eligible toll facility designated by the legislature and on which the imposition of tolls is authorized by the legislature in respect of the bonds, and excise taxes on motor vehicle and special fuels in amounts sufficient to pay, when due, the principal and interest on all bonds issued under the authority of this section and sections 2,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bonds issued under the authority of this section and sections 2, 5, and 7 of this act, the state treasurer shall first withdraw toll revenue from the Interstate 405 and state route number 167 express toll lanes operations account created under RCW 47.56.884, and, to the extent toll revenue is not available, excise taxes on motor vehicle and special fuels in the motor vehicle fund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motor vehicle and special fuels required for bond retirement or interest on the bonds authorized by this section and sections 2, 5, and 7 of this act shall be taken from that portion of the motor vehicle fund that results from the imposition of excise taxes on motor vehicle and special fuels and which is, or may be, appropriated to the department for state highway purposes. Funds required shall never constitute a charge against any other allocations of motor vehicle fuel and special fuel tax revenues to the state, counties, cities, and towns unless the amount arising from excise taxes on motor vehicle and special fuels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that are distributable to the state, counties, cities, and towns shall be repaid from available toll revenue in the manner provided in the bond proceedings or, if toll revenue is not available for that purpose, from the first excise taxes on motor vehicle and special fuels distributed to the motor vehicle fund not required for bond retirement or interest on the bonds. Any excise taxes on motor vehicle and special fuels required for bond retirement or interest on the bonds authorized by this section and sections 2, 5, and 7 of this act shall be reimbursed to the motor vehicle fund from toll revenue in the manner and with the priority specified in the bond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2, 5, and 6 of this act and this section and any other general obligation bonds of the state of Washington that have been or that may be authorized and that pledge motor vehicle and special fuel excise taxes for the payment of principal and interest thereon shall be an equal charge against the revenues from such motor vehicle and special fuel excise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and to the extent that the state finance committee determines, in consultation with the department and the tolling authority, that it will be beneficial for the state to issue any bonds authorized in sections 2 and 5 through 7 of this act as toll revenue bonds rather than as general obligation bonds, the state finance committee is authorized to issue and sell, upon the request of the department, such bonds as toll revenue bonds and not as general obligation bonds. Notwithstanding section 5 of this act, each such bond shall contain a recital that payment or redemption of the bond and payment of the interest and any premium thereon is payable solely from and secured solely by a direct pledge, charge, and lien upon toll revenue and is not a general obligation of the state to which the full faith and credit of the state is pledged.</w:t>
      </w:r>
    </w:p>
    <w:p>
      <w:pPr>
        <w:spacing w:before="0" w:after="0" w:line="408" w:lineRule="exact"/>
        <w:ind w:left="0" w:right="0" w:firstLine="576"/>
        <w:jc w:val="left"/>
      </w:pPr>
      <w:r>
        <w:rPr/>
        <w:t xml:space="preserve">Toll revenue is hereby pledged to the payment of any bonds and the interest thereon issued under the authority of this section, and the legislature agrees to continue to impose these toll charges on the Interstate 405 and state route number 167 eligible toll facility, and on any other eligible toll facility designated by the legislature and on which the imposition of tolls is authorized by the legislature in respect of the bonds, in amounts sufficient to pay, when due, the principal and interest on all bonds issued under the authority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882</w:t>
      </w:r>
      <w:r>
        <w:rPr/>
        <w:t xml:space="preserve"> and 2011 c 377 s 3 are each amended to read as follows:</w:t>
      </w:r>
    </w:p>
    <w:p>
      <w:pPr>
        <w:spacing w:before="0" w:after="0" w:line="408" w:lineRule="exact"/>
        <w:ind w:left="0" w:right="0" w:firstLine="576"/>
        <w:jc w:val="left"/>
      </w:pPr>
      <w:r>
        <w:rPr/>
        <w:t xml:space="preserve">The toll facility bond retirement account is created in the state treasury for the purpose of payment of the principal of and interest and premium on bonds. Both principal of and interest on the bonds issued for the purposes of chapter 498, Laws of 2009 </w:t>
      </w:r>
      <w:r>
        <w:t>((</w:t>
      </w:r>
      <w:r>
        <w:rPr>
          <w:strike/>
        </w:rPr>
        <w:t xml:space="preserve">and</w:t>
      </w:r>
      <w:r>
        <w:t>))</w:t>
      </w:r>
      <w:r>
        <w:rPr>
          <w:u w:val="single"/>
        </w:rPr>
        <w:t xml:space="preserve">,</w:t>
      </w:r>
      <w:r>
        <w:rPr/>
        <w:t xml:space="preserve"> chapter 377, Laws of 2011</w:t>
      </w:r>
      <w:r>
        <w:rPr>
          <w:u w:val="single"/>
        </w:rPr>
        <w:t xml:space="preserve">, and chapter . . ., Laws of 2019 (this act)</w:t>
      </w:r>
      <w:r>
        <w:rPr/>
        <w:t xml:space="preserve"> shall be payable from the toll facility bond retirement account. The state finance committee may provide that special subaccounts be created in the account to facilitate payment of the principal of and interest on the bonds. The state finance committee shall, on or before June 30th of each year, certify to the state treasurer the amount required for principal and interest on the bonds in accordance with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887</w:t>
      </w:r>
      <w:r>
        <w:rPr/>
        <w:t xml:space="preserve"> and 2011 c 377 s 5 are each amended to read as follows:</w:t>
      </w:r>
    </w:p>
    <w:p>
      <w:pPr>
        <w:spacing w:before="0" w:after="0" w:line="408" w:lineRule="exact"/>
        <w:ind w:left="0" w:right="0" w:firstLine="576"/>
        <w:jc w:val="left"/>
      </w:pPr>
      <w:r>
        <w:rPr/>
        <w:t xml:space="preserve">The state finance committee may determine and include in any resolution authorizing the issuance of any bonds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(1) Provisions regarding the maintenance and operation of eligible toll facilities;</w:t>
      </w:r>
    </w:p>
    <w:p>
      <w:pPr>
        <w:spacing w:before="0" w:after="0" w:line="408" w:lineRule="exact"/>
        <w:ind w:left="0" w:right="0" w:firstLine="576"/>
        <w:jc w:val="left"/>
      </w:pPr>
      <w:r>
        <w:rPr/>
        <w:t xml:space="preserve">(2) The pledges, uses, and priorities of application of toll revenue;</w:t>
      </w:r>
    </w:p>
    <w:p>
      <w:pPr>
        <w:spacing w:before="0" w:after="0" w:line="408" w:lineRule="exact"/>
        <w:ind w:left="0" w:right="0" w:firstLine="576"/>
        <w:jc w:val="left"/>
      </w:pPr>
      <w:r>
        <w:rPr/>
        <w:t xml:space="preserve">(3) Provisions that bonds shall be payable from and secured solely by toll revenue as provided by RCW 47.10.886, or shall be payable from and secured by both toll revenue and by a pledge of excise taxes on motor vehicle and special fuels and the full faith and credit of the state as provided in RCW 47.10.879 and 47.10.883 through 47.10.885;</w:t>
      </w:r>
    </w:p>
    <w:p>
      <w:pPr>
        <w:spacing w:before="0" w:after="0" w:line="408" w:lineRule="exact"/>
        <w:ind w:left="0" w:right="0" w:firstLine="576"/>
        <w:jc w:val="left"/>
      </w:pPr>
      <w:r>
        <w:rPr/>
        <w:t xml:space="preserve">(4) </w:t>
      </w:r>
      <w:r>
        <w:rPr>
          <w:u w:val="single"/>
        </w:rPr>
        <w:t xml:space="preserve">Provisions that bonds shall be payable from and secured solely by toll revenue as provided by section 8 of this act, or shall be payable from and secured by both toll revenue and by a pledge of excise taxes on motor vehicle and special fuels and the full faith and credit of the state as provided in sections 2 and 5 through 7 of this act;</w:t>
      </w:r>
    </w:p>
    <w:p>
      <w:pPr>
        <w:spacing w:before="0" w:after="0" w:line="408" w:lineRule="exact"/>
        <w:ind w:left="0" w:right="0" w:firstLine="576"/>
        <w:jc w:val="left"/>
      </w:pPr>
      <w:r>
        <w:rPr>
          <w:u w:val="single"/>
        </w:rPr>
        <w:t xml:space="preserve">(5)</w:t>
      </w:r>
      <w:r>
        <w:rPr/>
        <w:t xml:space="preserve"> In consultation with the department of transportation and the tolling authority, financial covenants requiring that the eligible toll facilities must produce specified coverage ratios of toll revenue to debt service on bonds;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purposes and conditions that must be satisfied prior to the issuance of any additional bonds that are to be payable from and secured by any toll revenue on an equal basis with previously issued and outstanding bonds payable from and secured by toll revenue;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Provisions regarding reserves, credit enhancement, liquidity facilities, and payment agreements with respect to bonds.</w:t>
      </w:r>
    </w:p>
    <w:p>
      <w:pPr>
        <w:spacing w:before="0" w:after="0" w:line="408" w:lineRule="exact"/>
        <w:ind w:left="0" w:right="0" w:firstLine="576"/>
        <w:jc w:val="left"/>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spacing w:before="0" w:after="0" w:line="408" w:lineRule="exact"/>
        <w:ind w:left="0" w:right="0" w:firstLine="576"/>
        <w:jc w:val="left"/>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888</w:t>
      </w:r>
      <w:r>
        <w:rPr/>
        <w:t xml:space="preserve"> and 2011 c 377 s 6 are each amended to read as follows:</w:t>
      </w:r>
    </w:p>
    <w:p>
      <w:pPr>
        <w:spacing w:before="0" w:after="0" w:line="408" w:lineRule="exact"/>
        <w:ind w:left="0" w:right="0" w:firstLine="576"/>
        <w:jc w:val="left"/>
      </w:pPr>
      <w:r>
        <w:rPr/>
        <w:t xml:space="preserve">(1)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all toll receipts, all interest income derived from the investment of toll receipts, and any gifts, grants, or other funds received for the benefit of transportation facilities in the state, including eligible toll facilities. However, for the purpose of any pledge of toll revenue to the payment of particular bonds issued under chapter 498, Laws of 2009 and chapter 377, Laws of 2011, "toll revenue" means and includes only such toll revenue or portion thereof that is pledged to the payment of those bonds in the resolution authorizing the issuance of such bonds. Toll revenue constitutes "fees and revenues derived from the ownership or operation of any undertaking, facility, or project" as that phrase is used in Article VIII, section 1(c)(1) of the state Constitution.</w:t>
      </w:r>
    </w:p>
    <w:p>
      <w:pPr>
        <w:spacing w:before="0" w:after="0" w:line="408" w:lineRule="exact"/>
        <w:ind w:left="0" w:right="0" w:firstLine="576"/>
        <w:jc w:val="left"/>
      </w:pPr>
      <w:r>
        <w:rPr/>
        <w:t xml:space="preserve">(2)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"tolling authority" has the same meaning as in RCW 47.56.810.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state route number 167 between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an eligible toll facility, and toll revenue generated in the corridor must only be expended </w:t>
      </w:r>
      <w:r>
        <w:rPr>
          <w:u w:val="single"/>
        </w:rPr>
        <w:t xml:space="preserve">on the Interstate 405 and state route number 167 projects as identified in the project list incorporated in the omnibus transportation appropriations act and</w:t>
      </w:r>
      <w:r>
        <w:rPr/>
        <w:t xml:space="preserve">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w:t>
      </w:r>
      <w:r>
        <w:t>((</w:t>
      </w:r>
      <w:r>
        <w:rPr>
          <w:strike/>
        </w:rPr>
        <w:t xml:space="preserve">project</w:t>
      </w:r>
      <w:r>
        <w:t>))</w:t>
      </w:r>
      <w:r>
        <w:rPr/>
        <w:t xml:space="preserve">. The department must automatically adjust the toll rate within the schedule established by the tolling authority, using dynamic tolling, to ensure </w:t>
      </w:r>
      <w:r>
        <w:t>((</w:t>
      </w:r>
      <w:r>
        <w:rPr>
          <w:strike/>
        </w:rPr>
        <w:t xml:space="preserve">that average vehicle speeds in the lanes remain above forty-five miles per hour at least ninety percent of the time during peak hours</w:t>
      </w:r>
      <w:r>
        <w:t>))</w:t>
      </w:r>
      <w:r>
        <w:rPr/>
        <w:t xml:space="preserve"> </w:t>
      </w:r>
      <w:r>
        <w:rPr>
          <w:u w:val="single"/>
        </w:rPr>
        <w:t xml:space="preserve">the most efficient movement of traffic</w:t>
      </w:r>
      <w:r>
        <w:rPr/>
        <w:t xml:space="preserve">.</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w:t>
      </w:r>
      <w:r>
        <w:rPr>
          <w:u w:val="single"/>
        </w:rPr>
        <w:t xml:space="preserve">until December 31, 2030,</w:t>
      </w:r>
      <w:r>
        <w:rPr/>
        <w:t xml:space="preserve">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or an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t xml:space="preserve">The Interstate 405 </w:t>
      </w:r>
      <w:r>
        <w:rPr>
          <w:u w:val="single"/>
        </w:rPr>
        <w:t xml:space="preserve">and state route number 167</w:t>
      </w:r>
      <w:r>
        <w:rPr/>
        <w:t xml:space="preserve"> express toll lanes operations account is created in the motor vehicle fund. All revenues received by the department as toll charges collected from Interstate 405 </w:t>
      </w:r>
      <w:r>
        <w:rPr>
          <w:u w:val="single"/>
        </w:rPr>
        <w:t xml:space="preserve">and state route number 167</w:t>
      </w:r>
      <w:r>
        <w:rPr/>
        <w:t xml:space="preserve"> express toll lane users must be deposited into the account. Moneys in the account may be spent only after appropriation</w:t>
      </w:r>
      <w:r>
        <w:t>((</w:t>
      </w:r>
      <w:r>
        <w:rPr>
          <w:strike/>
        </w:rPr>
        <w:t xml:space="preserve">.</w:t>
      </w:r>
      <w:r>
        <w:t>))</w:t>
      </w:r>
      <w:r>
        <w:rPr/>
        <w:t xml:space="preserve"> </w:t>
      </w:r>
      <w:r>
        <w:rPr>
          <w:u w:val="single"/>
        </w:rPr>
        <w:t xml:space="preserve">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 </w:t>
      </w:r>
      <w:r>
        <w:rPr>
          <w:u w:val="single"/>
        </w:rPr>
        <w:t xml:space="preserve">It is the legislature's intent to use toll revenue to fund the Interstate 405 and state route number 167 projects as identified in the project list incorporated in the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Puget Sound Gateway project be advanced in order to maximize net mobility benefits for both freight and the traveling public. It is the intent of the legislature for tolling to begin on stage one of the project sooner than currently planned in order to leverage toll funds, advance one hundred twenty-nine million dollars of connecting Washington--state funds by two biennia to the 2023-2025 biennium, and advance local and federal contributions, as identified in the project list incorporated in the omnibus transportation appropriations act. This will allow the department of transportation to deliver and open to the public stage two of the project in fiscal year 2028, three years earlier than originally planned, and to realize twenty million dollars in cost savings in connecting Washington--state funds at the end of the project to be used on other emergent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project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(3) For the purposes of this section and section 16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special account to be known as the Puget Sound Gateway facility account is created in the motor vehicle fund.</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and loans issued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Puget Sound Gateway project, toll charges, other revenues, and interest received from the operations of the Puget Sound Gateway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Puget Sound Gateway facility account to the motor vehicle fund on or before each debt service date for bonds issued for the construction of the Puget Sound Gateway project in an amount sufficient to repay the motor vehicle fund for amounts transferred from that fund to the highway bond retirement fund to provide for any bond principal and interest due on that date. The state treasurer may establish subaccounts for segregating toll charges, bond sale proceeds, and other revenues.</w:t>
      </w:r>
    </w:p>
    <w:p>
      <w:pPr>
        <w:spacing w:before="0" w:after="0" w:line="408" w:lineRule="exact"/>
        <w:ind w:left="0" w:right="0" w:firstLine="576"/>
        <w:jc w:val="left"/>
      </w:pPr>
      <w:r>
        <w:rPr/>
        <w:t xml:space="preserve">(4)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w:t>
      </w:r>
      <w:r>
        <w:rPr>
          <w:u w:val="single"/>
        </w:rPr>
        <w:t xml:space="preserve">and state route number 167</w:t>
      </w:r>
      <w:r>
        <w:rPr/>
        <w:t xml:space="preserve">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are each added to </w:t>
      </w:r>
      <w:r>
        <w:rPr/>
        <w:t xml:space="preserve">chapter </w:t>
      </w:r>
      <w:r>
        <w:t xml:space="preserve">47</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16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
      <w:pPr>
        <w:jc w:val="center"/>
      </w:pPr>
      <w:r>
        <w:rPr>
          <w:b/>
        </w:rPr>
        <w:t>--- END ---</w:t>
      </w:r>
    </w:p>
    <w:sectPr>
      <w:pgNumType w:start="1"/>
      <w:footerReference xmlns:r="http://schemas.openxmlformats.org/officeDocument/2006/relationships" r:id="Rec41913d538d4f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9acb376df4ed1" /><Relationship Type="http://schemas.openxmlformats.org/officeDocument/2006/relationships/footer" Target="/word/footer1.xml" Id="Rec41913d538d4f00" /></Relationships>
</file>