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a95fd5fd249ad" /></Relationships>
</file>

<file path=word/document.xml><?xml version="1.0" encoding="utf-8"?>
<w:document xmlns:w="http://schemas.openxmlformats.org/wordprocessingml/2006/main">
  <w:body>
    <w:p>
      <w:r>
        <w:t>H-2185.1</w:t>
      </w:r>
    </w:p>
    <w:p>
      <w:pPr>
        <w:jc w:val="center"/>
      </w:pPr>
      <w:r>
        <w:t>_______________________________________________</w:t>
      </w:r>
    </w:p>
    <w:p/>
    <w:p>
      <w:pPr>
        <w:jc w:val="center"/>
      </w:pPr>
      <w:r>
        <w:rPr>
          <w:b/>
        </w:rPr>
        <w:t>HOUSE BILL 2137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Tarleton, Senn, Riccelli, Stonier, Frame, and Macri</w:t>
      </w:r>
    </w:p>
    <w:p/>
    <w:p>
      <w:r>
        <w:rPr>
          <w:t xml:space="preserve">Read first time 03/05/19.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tax preferences for bullion; creating a new section; repealing RCW 82.04.062;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("Sale at wholesale," "sale at retail" excludes sale of precious metal bullion and monetized bullion</w:t>
      </w:r>
      <w:r>
        <w:rPr>
          <w:rFonts w:ascii="Times New Roman" w:hAnsi="Times New Roman"/>
        </w:rPr>
        <w:t xml:space="preserve">—</w:t>
      </w:r>
      <w:r>
        <w:rPr/>
        <w:t xml:space="preserve">Computation of tax) and 1985 c 471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 of this act does not affect any existing right acquired or liability or obligation incurred under the statute repealed or under any rule or order adopted under that statute nor does it affect any proceeding instituted under the repealed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14875bb29dbb4f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f7fec303644943" /><Relationship Type="http://schemas.openxmlformats.org/officeDocument/2006/relationships/footer" Target="/word/footer1.xml" Id="R14875bb29dbb4f5f" /></Relationships>
</file>