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11f72bde2346b2" /></Relationships>
</file>

<file path=word/document.xml><?xml version="1.0" encoding="utf-8"?>
<w:document xmlns:w="http://schemas.openxmlformats.org/wordprocessingml/2006/main">
  <w:body>
    <w:p>
      <w:r>
        <w:t>H-2996.1</w:t>
      </w:r>
    </w:p>
    <w:p>
      <w:pPr>
        <w:jc w:val="center"/>
      </w:pPr>
      <w:r>
        <w:t>_______________________________________________</w:t>
      </w:r>
    </w:p>
    <w:p/>
    <w:p>
      <w:pPr>
        <w:jc w:val="center"/>
      </w:pPr>
      <w:r>
        <w:rPr>
          <w:b/>
        </w:rPr>
        <w:t>SUBSTITUTE HOUSE BILL 2157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Tarleton, Sullivan, Ormsby, Bergquist, Robinson, Appleton, Dolan, Frame, Macri, Pollet, and Tharinger)</w:t>
      </w:r>
    </w:p>
    <w:p/>
    <w:p>
      <w:r>
        <w:rPr>
          <w:t xml:space="preserve">READ FIRST TIME 04/22/19.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Washington tax structure to address the needs of Washingtonians; amending RCW 82.04.260, 82.08.0273, 84.36.381, 84.36.383, 84.36.385, 84.38.020, 84.38.070, 84.38.130, and 84.38.150; reenacting and amending RCW 84.38.030; adding a new section to chapter 82.04 RCW; adding a new section to chapter 82.32 RCW; creating new sections; prescribing penalties; providing an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Washington tax structure was developed in the early twentieth century and has been amended over time to include many tax preferences that benefit select taxpayers. The legislature further finds that we must ensure our tax structure is equitable, stable, transparent, and adequate in light of the modernizing economy, our states' extraordinary population growth, and the changing economic reality we currently face as individuals, communities, businesses, and the state.</w:t>
      </w:r>
    </w:p>
    <w:p>
      <w:pPr>
        <w:spacing w:before="0" w:after="0" w:line="408" w:lineRule="exact"/>
        <w:ind w:left="0" w:right="0" w:firstLine="576"/>
        <w:jc w:val="left"/>
      </w:pPr>
      <w:r>
        <w:rPr/>
        <w:t xml:space="preserve">(2) The legislature finds that the tax structure has driven individual taxpayers and businesses to seek relief from state and local taxes. Over the years, the legislature has adopted approximately seven hundred tax preferences. Although some of those tax preferences have a broad and positive impact, such as property tax relief programs for the most vulnerable members of our communities and tax relief for industries that support the economic and environmental vitality of our state, many preferences are targeted to benefit a very small number of taxpayers. By requiring a series of preferences to mitigate its unintended consequences, the state's tax structure has created structural deficits, instability, and sets of "winners" and "losers" within the code.</w:t>
      </w:r>
    </w:p>
    <w:p>
      <w:pPr>
        <w:spacing w:before="0" w:after="0" w:line="408" w:lineRule="exact"/>
        <w:ind w:left="0" w:right="0" w:firstLine="576"/>
        <w:jc w:val="left"/>
      </w:pPr>
      <w:r>
        <w:rPr/>
        <w:t xml:space="preserve">(3) Therefore, it is the intent of the legislature to modernize and rebalance our state tax structure by repealing and modifying tax preferences that either no longer support the economic vitality of the state or the quality of life for the most vulnerable members of our communities and revaluating the state tax structure.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Modifying Preferential Business and Occupation</w:t>
      </w:r>
    </w:p>
    <w:p>
      <w:pPr>
        <w:spacing w:before="0" w:after="0" w:line="408" w:lineRule="exact"/>
        <w:ind w:left="0" w:right="0" w:firstLine="576"/>
        <w:jc w:val="center"/>
      </w:pPr>
      <w:r>
        <w:rPr>
          <w:b/>
        </w:rPr>
        <w:t xml:space="preserve">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 </w:t>
      </w:r>
      <w:r>
        <w:rPr>
          <w:u w:val="single"/>
        </w:rPr>
        <w:t xml:space="preserve">through June 30, 2019, and 0.9 percent beginning July 1, 2019</w:t>
      </w:r>
      <w:r>
        <w:rPr/>
        <w:t xml:space="preserve">.</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240" w:after="0" w:line="408" w:lineRule="exact"/>
        <w:ind w:left="0" w:right="0" w:firstLine="0"/>
        <w:jc w:val="center"/>
      </w:pPr>
      <w:r>
        <w:rPr>
          <w:b/>
        </w:rPr>
        <w:t xml:space="preserve">Part III</w:t>
      </w:r>
    </w:p>
    <w:p>
      <w:pPr>
        <w:spacing w:before="0" w:after="0" w:line="408" w:lineRule="exact"/>
        <w:ind w:left="0" w:right="0" w:firstLine="0"/>
        <w:jc w:val="center"/>
      </w:pPr>
      <w:r>
        <w:rPr>
          <w:b/>
        </w:rPr>
        <w:t xml:space="preserve">Providing a Business and Occupation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section is the tax preference performance statement for the tax preference contained in section 302, chapter ..., Laws of 2019 (section 302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to certain eligible businesses, as indicated in RCW 82.32.808(2)(e).</w:t>
      </w:r>
    </w:p>
    <w:p>
      <w:pPr>
        <w:spacing w:before="0" w:after="0" w:line="408" w:lineRule="exact"/>
        <w:ind w:left="0" w:right="0" w:firstLine="576"/>
        <w:jc w:val="left"/>
      </w:pPr>
      <w:r>
        <w:rPr/>
        <w:t xml:space="preserve">(2) The joint legislative audit and review committee is directed to evaluate the role eligible hospitals play as safety net providers, using metrics including but not limited to:</w:t>
      </w:r>
    </w:p>
    <w:p>
      <w:pPr>
        <w:spacing w:before="0" w:after="0" w:line="408" w:lineRule="exact"/>
        <w:ind w:left="0" w:right="0" w:firstLine="576"/>
        <w:jc w:val="left"/>
      </w:pPr>
      <w:r>
        <w:rPr/>
        <w:t xml:space="preserve">(a) The monetary value of the following services provided by each eligible hospital:</w:t>
      </w:r>
    </w:p>
    <w:p>
      <w:pPr>
        <w:spacing w:before="0" w:after="0" w:line="408" w:lineRule="exact"/>
        <w:ind w:left="0" w:right="0" w:firstLine="576"/>
        <w:jc w:val="left"/>
      </w:pPr>
      <w:r>
        <w:rPr/>
        <w:t xml:space="preserve">(i) Uncompensated care, by category of health care services; and</w:t>
      </w:r>
    </w:p>
    <w:p>
      <w:pPr>
        <w:spacing w:before="0" w:after="0" w:line="408" w:lineRule="exact"/>
        <w:ind w:left="0" w:right="0" w:firstLine="576"/>
        <w:jc w:val="left"/>
      </w:pPr>
      <w:r>
        <w:rPr/>
        <w:t xml:space="preserve">(ii) Medicaid and medicare funded treatment, by category of health care services;</w:t>
      </w:r>
    </w:p>
    <w:p>
      <w:pPr>
        <w:spacing w:before="0" w:after="0" w:line="408" w:lineRule="exact"/>
        <w:ind w:left="0" w:right="0" w:firstLine="576"/>
        <w:jc w:val="left"/>
      </w:pPr>
      <w:r>
        <w:rPr/>
        <w:t xml:space="preserve">(b) Percentage and count of all clients served by each eligible hospital, by category of health care services, who:</w:t>
      </w:r>
    </w:p>
    <w:p>
      <w:pPr>
        <w:spacing w:before="0" w:after="0" w:line="408" w:lineRule="exact"/>
        <w:ind w:left="0" w:right="0" w:firstLine="576"/>
        <w:jc w:val="left"/>
      </w:pPr>
      <w:r>
        <w:rPr/>
        <w:t xml:space="preserve">(i) Receive uncompensated care; and</w:t>
      </w:r>
    </w:p>
    <w:p>
      <w:pPr>
        <w:spacing w:before="0" w:after="0" w:line="408" w:lineRule="exact"/>
        <w:ind w:left="0" w:right="0" w:firstLine="576"/>
        <w:jc w:val="left"/>
      </w:pPr>
      <w:r>
        <w:rPr/>
        <w:t xml:space="preserve">(ii) Use medicare or medicaid to pay for treatment; and</w:t>
      </w:r>
    </w:p>
    <w:p>
      <w:pPr>
        <w:spacing w:before="0" w:after="0" w:line="408" w:lineRule="exact"/>
        <w:ind w:left="0" w:right="0" w:firstLine="576"/>
        <w:jc w:val="left"/>
      </w:pPr>
      <w:r>
        <w:rPr/>
        <w:t xml:space="preserve">(c) Percentage and count of all clients served in all hospitals in Washington who:</w:t>
      </w:r>
    </w:p>
    <w:p>
      <w:pPr>
        <w:spacing w:before="0" w:after="0" w:line="408" w:lineRule="exact"/>
        <w:ind w:left="0" w:right="0" w:firstLine="576"/>
        <w:jc w:val="left"/>
      </w:pPr>
      <w:r>
        <w:rPr/>
        <w:t xml:space="preserve">(i) Receive uncompensated care from an eligible hospital, by category of health care services;</w:t>
      </w:r>
    </w:p>
    <w:p>
      <w:pPr>
        <w:spacing w:before="0" w:after="0" w:line="408" w:lineRule="exact"/>
        <w:ind w:left="0" w:right="0" w:firstLine="576"/>
        <w:jc w:val="left"/>
      </w:pPr>
      <w:r>
        <w:rPr/>
        <w:t xml:space="preserve">(ii) Use medicare and medicaid to pay for treatment from an eligible hospital, by category of health care services; and</w:t>
      </w:r>
    </w:p>
    <w:p>
      <w:pPr>
        <w:spacing w:before="0" w:after="0" w:line="408" w:lineRule="exact"/>
        <w:ind w:left="0" w:right="0" w:firstLine="576"/>
        <w:jc w:val="left"/>
      </w:pPr>
      <w:r>
        <w:rPr/>
        <w:t xml:space="preserve">(iii) Receive uncompensated trauma care from an eligible hospital.</w:t>
      </w:r>
    </w:p>
    <w:p>
      <w:pPr>
        <w:spacing w:before="0" w:after="0" w:line="408" w:lineRule="exact"/>
        <w:ind w:left="0" w:right="0" w:firstLine="576"/>
        <w:jc w:val="left"/>
      </w:pPr>
      <w:r>
        <w:rPr/>
        <w:t xml:space="preserve">(3) For the purposes of this section, "eligible hospital" means a taxpayer claiming the tax preference provided in section 302, chapter ..., Laws of 2019 (section 302 of this act).</w:t>
      </w:r>
    </w:p>
    <w:p>
      <w:pPr>
        <w:spacing w:before="0" w:after="0" w:line="408" w:lineRule="exact"/>
        <w:ind w:left="0" w:right="0" w:firstLine="576"/>
        <w:jc w:val="left"/>
      </w:pPr>
      <w:r>
        <w:rPr/>
        <w:t xml:space="preserve">(4) In order to obtain the data necessary to perform the review in this section, the joint legislative audit and review committee may refer to data from the health care authority and the department of health, as well as any other available data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engaging within this state in business as a hospital, as defined in chapter 70.41 RCW, that is owned by a county with a population greater than two million and that is managed by a state university.</w:t>
      </w:r>
    </w:p>
    <w:p>
      <w:pPr>
        <w:spacing w:before="0" w:after="0" w:line="408" w:lineRule="exact"/>
        <w:ind w:left="0" w:right="0" w:firstLine="576"/>
        <w:jc w:val="left"/>
      </w:pPr>
      <w:r>
        <w:rPr/>
        <w:t xml:space="preserve">(2) This section expires January 1, 2030.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Narrowing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 sales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his or her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p>
    <w:p>
      <w:pPr>
        <w:spacing w:before="0" w:after="0" w:line="408" w:lineRule="exact"/>
        <w:ind w:left="0" w:right="0" w:firstLine="576"/>
        <w:jc w:val="left"/>
      </w:pPr>
      <w:r>
        <w:rPr>
          <w:strike/>
        </w:rPr>
        <w:t xml:space="preserve">(4)(a) 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strike/>
        </w:rPr>
        <w:t xml:space="preserve">(7)</w:t>
      </w:r>
      <w:r>
        <w:t>))</w:t>
      </w:r>
      <w:r>
        <w:rPr/>
        <w:t xml:space="preserve"> </w:t>
      </w:r>
      <w:r>
        <w:rPr>
          <w:u w:val="single"/>
        </w:rPr>
        <w:t xml:space="preserve">(4)(a)(i)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u w:val="single"/>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w:t>
      </w:r>
    </w:p>
    <w:p>
      <w:pPr>
        <w:spacing w:before="0" w:after="0" w:line="408" w:lineRule="exact"/>
        <w:ind w:left="0" w:right="0" w:firstLine="576"/>
        <w:jc w:val="left"/>
      </w:pPr>
      <w:r>
        <w:rPr>
          <w:u w:val="single"/>
        </w:rPr>
        <w:t xml:space="preserve">(i) Liable for repayment of the remittance, including interest as provided in chapter 82.32 RCW from the date the remittance was transmitted to the person until repaid in full;</w:t>
      </w:r>
    </w:p>
    <w:p>
      <w:pPr>
        <w:spacing w:before="0" w:after="0" w:line="408" w:lineRule="exact"/>
        <w:ind w:left="0" w:right="0" w:firstLine="576"/>
        <w:jc w:val="left"/>
      </w:pPr>
      <w:r>
        <w:rPr>
          <w:u w:val="single"/>
        </w:rPr>
        <w:t xml:space="preserve">(ii) Liable for a civil penalty equal to the greater of one hundred dollars or the amount of the remittance obtained in violation of this subsection (5)(b); and</w:t>
      </w:r>
    </w:p>
    <w:p>
      <w:pPr>
        <w:spacing w:before="0" w:after="0" w:line="408" w:lineRule="exact"/>
        <w:ind w:left="0" w:right="0" w:firstLine="576"/>
        <w:jc w:val="left"/>
      </w:pPr>
      <w:r>
        <w:rPr>
          <w:u w:val="single"/>
        </w:rPr>
        <w:t xml:space="preserve">(iii)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(5) is jointly and severally liable for amounts due under (b) of this subsection (5)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(6)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Expanding the Senior Citizen Property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w:t>
      </w:r>
      <w:r>
        <w:rPr>
          <w:u w:val="single"/>
        </w:rPr>
        <w:t xml:space="preserve">(a)</w:t>
      </w:r>
      <w:r>
        <w:rPr/>
        <w:t xml:space="preserve">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w:t>
      </w:r>
      <w:r>
        <w:t>((</w:t>
      </w:r>
      <w:r>
        <w:rPr>
          <w:strike/>
        </w:rPr>
        <w:t xml:space="preserve">or</w:t>
      </w:r>
      <w:r>
        <w:t>))</w:t>
      </w:r>
      <w:r>
        <w:rPr/>
        <w:t xml:space="preserve"> adult family home</w:t>
      </w:r>
      <w:r>
        <w:rPr>
          <w:u w:val="single"/>
        </w:rPr>
        <w:t xml:space="preserve">, or home of a relative for the purpose of long-term care</w:t>
      </w:r>
      <w:r>
        <w:rPr/>
        <w:t xml:space="preserve"> does not disqualify the claim of exemption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residence is temporarily unoccupied;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residence is occupied by a spouse or a domestic partner and/or a person financially dependent on the claimant for support;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residence is rented for the purpose of paying nursing home, hospital, assisted living facility, or adult family home costs</w:t>
      </w:r>
      <w:r>
        <w:rPr>
          <w:u w:val="single"/>
        </w:rPr>
        <w:t xml:space="preserve">.</w:t>
      </w:r>
    </w:p>
    <w:p>
      <w:pPr>
        <w:spacing w:before="0" w:after="0" w:line="408" w:lineRule="exact"/>
        <w:ind w:left="0" w:right="0" w:firstLine="576"/>
        <w:jc w:val="left"/>
      </w:pPr>
      <w:r>
        <w:rPr>
          <w:u w:val="single"/>
        </w:rPr>
        <w:t xml:space="preserve">(b) For the purpose of this subsection (1), "relative" means any individual related to the claimant by blood, marriage, or adoption</w:t>
      </w:r>
      <w:r>
        <w:rPr/>
        <w:t xml:space="preserve">;</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w:t>
      </w:r>
      <w:r>
        <w:t>((</w:t>
      </w:r>
      <w:r>
        <w:rPr>
          <w:strike/>
        </w:rPr>
        <w:t xml:space="preserve">a total disability rating for a service-connected disability</w:t>
      </w:r>
      <w:r>
        <w:t>))</w:t>
      </w:r>
      <w:r>
        <w:rPr>
          <w:u w:val="single"/>
        </w:rPr>
        <w:t xml:space="preserve">:</w:t>
      </w:r>
    </w:p>
    <w:p>
      <w:pPr>
        <w:spacing w:before="0" w:after="0" w:line="408" w:lineRule="exact"/>
        <w:ind w:left="0" w:right="0" w:firstLine="576"/>
        <w:jc w:val="left"/>
      </w:pPr>
      <w:r>
        <w:rPr>
          <w:u w:val="single"/>
        </w:rPr>
        <w:t xml:space="preserve">(A) A combined service-connected evaluation rating of eighty percent or higher; or</w:t>
      </w:r>
    </w:p>
    <w:p>
      <w:pPr>
        <w:spacing w:before="0" w:after="0" w:line="408" w:lineRule="exact"/>
        <w:ind w:left="0" w:right="0" w:firstLine="576"/>
        <w:jc w:val="left"/>
      </w:pPr>
      <w:r>
        <w:rPr>
          <w:u w:val="single"/>
        </w:rPr>
        <w:t xml:space="preserve">(B) A total disability rating for a service-connected disability without regard to evaluation percent</w:t>
      </w:r>
      <w:r>
        <w:rPr/>
        <w:t xml:space="preserve">.</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u w:val="single"/>
        </w:rPr>
        <w:t xml:space="preserve">(9) "Income threshold 1"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84.36.385(7).</w:t>
      </w:r>
    </w:p>
    <w:p>
      <w:pPr>
        <w:spacing w:before="0" w:after="0" w:line="408" w:lineRule="exact"/>
        <w:ind w:left="0" w:right="0" w:firstLine="576"/>
        <w:jc w:val="left"/>
      </w:pPr>
      <w:r>
        <w:rPr>
          <w:u w:val="single"/>
        </w:rPr>
        <w:t xml:space="preserve">(10) "Income threshold 2"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84.36.385(7).</w:t>
      </w:r>
    </w:p>
    <w:p>
      <w:pPr>
        <w:spacing w:before="0" w:after="0" w:line="408" w:lineRule="exact"/>
        <w:ind w:left="0" w:right="0" w:firstLine="576"/>
        <w:jc w:val="left"/>
      </w:pPr>
      <w:r>
        <w:rPr>
          <w:u w:val="single"/>
        </w:rPr>
        <w:t xml:space="preserve">(11) "Income threshold 3"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Beginning August 1, 2019, and by March 1st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u w:val="single"/>
        </w:rPr>
        <w:t xml:space="preserve">(8) Beginning with the adjustment made by March 1, 2024, as provided in subsection (7) of this section, and every second adjustment thereafter, if an income threshold in a county is not adjusted based on percentage of county median income, then the income threshold must be adjusted based on the growth of the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the claimant </w:t>
      </w:r>
      <w:r>
        <w:t>((</w:t>
      </w:r>
      <w:r>
        <w:rPr>
          <w:strike/>
        </w:rPr>
        <w:t xml:space="preserve">shall be</w:t>
      </w:r>
      <w:r>
        <w:t>))</w:t>
      </w:r>
      <w:r>
        <w:rPr/>
        <w:t xml:space="preserve"> </w:t>
      </w:r>
      <w:r>
        <w:rPr>
          <w:u w:val="single"/>
        </w:rPr>
        <w:t xml:space="preserve">is</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r>
        <w:t>))</w:t>
      </w:r>
      <w:r>
        <w:rPr/>
        <w:t xml:space="preserve"> </w:t>
      </w:r>
      <w:r>
        <w:rPr>
          <w:u w:val="single"/>
        </w:rPr>
        <w:t xml:space="preserve">"Devisee"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w:t>
      </w:r>
      <w:r>
        <w:rPr>
          <w:u w:val="single"/>
        </w:rPr>
        <w:t xml:space="preserve">"Heir" has the same meaning as provided in RCW 21.35.005.</w:t>
      </w:r>
    </w:p>
    <w:p>
      <w:pPr>
        <w:spacing w:before="0" w:after="0" w:line="408" w:lineRule="exact"/>
        <w:ind w:left="0" w:right="0" w:firstLine="576"/>
        <w:jc w:val="left"/>
      </w:pPr>
      <w:r>
        <w:rPr>
          <w:u w:val="single"/>
        </w:rPr>
        <w:t xml:space="preserve">(5) "Income threshold" means: (a) For taxes levied for collection in calendar years prior to 2020, a combined disposable income equal to forty-five thousand dollars; and (b) for taxes levied for collection in calendar year 2020 and thereafter, a combined disposable income equal to the greater of the income threshold for the previous year, or seventy-five percent of the county median household income, adjusted every five years beginning August 1, 2019, as provided in RCW 84.36.385(7).</w:t>
      </w:r>
    </w:p>
    <w:p>
      <w:pPr>
        <w:spacing w:before="0" w:after="0" w:line="408" w:lineRule="exact"/>
        <w:ind w:left="0" w:right="0" w:firstLine="576"/>
        <w:jc w:val="left"/>
      </w:pPr>
      <w:r>
        <w:rPr>
          <w:u w:val="single"/>
        </w:rPr>
        <w:t xml:space="preserve">(6)</w:t>
      </w:r>
      <w:r>
        <w:rPr/>
        <w:t xml:space="preserve">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"Real property taxes" means ad valorem property taxes levied on a residence in this state in the preceding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"Residence" has the meaning given in RCW 84.36.383.</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a person who was receiving a deferral at the time of the person's death qualifies if the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070</w:t>
      </w:r>
      <w:r>
        <w:rPr/>
        <w:t xml:space="preserve"> and 2008 c 6 s 703 are each amended to read as follows:</w:t>
      </w:r>
    </w:p>
    <w:p>
      <w:pPr>
        <w:spacing w:before="0" w:after="0" w:line="408" w:lineRule="exact"/>
        <w:ind w:left="0" w:right="0" w:firstLine="576"/>
        <w:jc w:val="left"/>
      </w:pPr>
      <w:r>
        <w:rPr/>
        <w:t xml:space="preserve">If the claimant declaring his or her intention to defer special assessments or real property tax obligations under this chapter ceases to reside permanently on the property for which the declaration to defer is made between the date of filing the declaration and December 15th of that year, the deferral otherwise allowable under this chapter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on such tax roll. However, this section </w:t>
      </w:r>
      <w:r>
        <w:t>((</w:t>
      </w:r>
      <w:r>
        <w:rPr>
          <w:strike/>
        </w:rPr>
        <w:t xml:space="preserve">shall</w:t>
      </w:r>
      <w:r>
        <w:t>))</w:t>
      </w:r>
      <w:r>
        <w:rPr/>
        <w:t xml:space="preserve"> </w:t>
      </w:r>
      <w:r>
        <w:rPr>
          <w:u w:val="single"/>
        </w:rPr>
        <w:t xml:space="preserve">does</w:t>
      </w:r>
      <w:r>
        <w:rPr/>
        <w:t xml:space="preserve"> not apply where the claimant dies, leaving a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surviving, who is also eligible for deferral of special assessment and/or property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130</w:t>
      </w:r>
      <w:r>
        <w:rPr/>
        <w:t xml:space="preserve"> and 2008 c 6 s 704 are each amended to read as follows:</w:t>
      </w:r>
    </w:p>
    <w:p>
      <w:pPr>
        <w:spacing w:before="0" w:after="0" w:line="408" w:lineRule="exact"/>
        <w:ind w:left="0" w:right="0" w:firstLine="576"/>
        <w:jc w:val="left"/>
      </w:pPr>
      <w:r>
        <w:rPr/>
        <w:t xml:space="preserve">Special assessments and/or real property tax obligations deferred under this chapter </w:t>
      </w:r>
      <w:r>
        <w:t>((</w:t>
      </w:r>
      <w:r>
        <w:rPr>
          <w:strike/>
        </w:rPr>
        <w:t xml:space="preserve">shall</w:t>
      </w:r>
      <w:r>
        <w:t>))</w:t>
      </w:r>
      <w:r>
        <w:rPr/>
        <w:t xml:space="preserve"> become payable together with interest as provided in RCW 84.38.100:</w:t>
      </w:r>
    </w:p>
    <w:p>
      <w:pPr>
        <w:spacing w:before="0" w:after="0" w:line="408" w:lineRule="exact"/>
        <w:ind w:left="0" w:right="0" w:firstLine="576"/>
        <w:jc w:val="left"/>
      </w:pPr>
      <w:r>
        <w:rPr/>
        <w:t xml:space="preserve">(1) Upon the sale of property which has a deferred special assessment and/or real property tax lien upon it.</w:t>
      </w:r>
    </w:p>
    <w:p>
      <w:pPr>
        <w:spacing w:before="0" w:after="0" w:line="408" w:lineRule="exact"/>
        <w:ind w:left="0" w:right="0" w:firstLine="576"/>
        <w:jc w:val="left"/>
      </w:pPr>
      <w:r>
        <w:rPr/>
        <w:t xml:space="preserve">(2) Upon the death of the claimant with an outstanding deferred special assessment and/or real property tax lien except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who is qualified under this chapter may elect to incur the special assessment and/or real property tax lien</w:t>
      </w:r>
      <w:r>
        <w:rPr>
          <w:u w:val="single"/>
        </w:rPr>
        <w:t xml:space="preserve">,</w:t>
      </w:r>
      <w:r>
        <w:rPr/>
        <w:t xml:space="preserve"> which </w:t>
      </w:r>
      <w:r>
        <w:t>((</w:t>
      </w:r>
      <w:r>
        <w:rPr>
          <w:strike/>
        </w:rPr>
        <w:t xml:space="preserve">shall</w:t>
      </w:r>
      <w:r>
        <w:t>))</w:t>
      </w:r>
      <w:r>
        <w:rPr/>
        <w:t xml:space="preserve"> </w:t>
      </w:r>
      <w:r>
        <w:rPr>
          <w:u w:val="single"/>
        </w:rPr>
        <w:t xml:space="preserve">is</w:t>
      </w:r>
      <w:r>
        <w:rPr/>
        <w:t xml:space="preserve"> then </w:t>
      </w:r>
      <w:r>
        <w:t>((</w:t>
      </w:r>
      <w:r>
        <w:rPr>
          <w:strike/>
        </w:rPr>
        <w:t xml:space="preserve">be</w:t>
      </w:r>
      <w:r>
        <w:t>))</w:t>
      </w:r>
      <w:r>
        <w:rPr/>
        <w:t xml:space="preserve"> payable by that spouse </w:t>
      </w:r>
      <w:r>
        <w:t>((</w:t>
      </w:r>
      <w:r>
        <w:rPr>
          <w:strike/>
        </w:rPr>
        <w:t xml:space="preserve">or that</w:t>
      </w:r>
      <w:r>
        <w:t>))</w:t>
      </w:r>
      <w:r>
        <w:rPr>
          <w:u w:val="single"/>
        </w:rPr>
        <w:t xml:space="preserve">,</w:t>
      </w:r>
      <w:r>
        <w:rPr/>
        <w:t xml:space="preserve"> domestic partner</w:t>
      </w:r>
      <w:r>
        <w:rPr>
          <w:u w:val="single"/>
        </w:rPr>
        <w:t xml:space="preserve">, heir, or devisee</w:t>
      </w:r>
      <w:r>
        <w:rPr/>
        <w:t xml:space="preserve"> as provided in this section.</w:t>
      </w:r>
    </w:p>
    <w:p>
      <w:pPr>
        <w:spacing w:before="0" w:after="0" w:line="408" w:lineRule="exact"/>
        <w:ind w:left="0" w:right="0" w:firstLine="576"/>
        <w:jc w:val="left"/>
      </w:pPr>
      <w:r>
        <w:rPr/>
        <w:t xml:space="preserve">(3) Upon the condemnation of property with a deferred special assessment and/or real property tax lien upon it by a public or private body exercising eminent domain power, except as otherwise provided in RCW 84.60.070.</w:t>
      </w:r>
    </w:p>
    <w:p>
      <w:pPr>
        <w:spacing w:before="0" w:after="0" w:line="408" w:lineRule="exact"/>
        <w:ind w:left="0" w:right="0" w:firstLine="576"/>
        <w:jc w:val="left"/>
      </w:pPr>
      <w:r>
        <w:rPr/>
        <w:t xml:space="preserve">(4) At such time as the claimant ceases to reside permanently in the residence upon which the deferral has been granted.</w:t>
      </w:r>
    </w:p>
    <w:p>
      <w:pPr>
        <w:spacing w:before="0" w:after="0" w:line="408" w:lineRule="exact"/>
        <w:ind w:left="0" w:right="0" w:firstLine="576"/>
        <w:jc w:val="left"/>
      </w:pPr>
      <w:r>
        <w:rPr/>
        <w:t xml:space="preserve">(5) Upon the failure of any condition set forth in RCW 84.38.030.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150</w:t>
      </w:r>
      <w:r>
        <w:rPr/>
        <w:t xml:space="preserve"> and 2008 c 6 s 705 are each amended to read as follows:</w:t>
      </w:r>
    </w:p>
    <w:p>
      <w:pPr>
        <w:spacing w:before="0" w:after="0" w:line="408" w:lineRule="exact"/>
        <w:ind w:left="0" w:right="0" w:firstLine="576"/>
        <w:jc w:val="left"/>
      </w:pPr>
      <w:r>
        <w:rPr/>
        <w:t xml:space="preserve">(1)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the claimant may elect to continue the property in its deferred tax status if the property is the residence of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of the claimant and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meets the requirements of this chapter.</w:t>
      </w:r>
    </w:p>
    <w:p>
      <w:pPr>
        <w:spacing w:before="0" w:after="0" w:line="408" w:lineRule="exact"/>
        <w:ind w:left="0" w:right="0" w:firstLine="576"/>
        <w:jc w:val="left"/>
      </w:pPr>
      <w:r>
        <w:rPr/>
        <w:t xml:space="preserve">(2) The election under this section to continue the property in its deferred status by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w:t>
      </w:r>
      <w:r>
        <w:t>((</w:t>
      </w:r>
      <w:r>
        <w:rPr>
          <w:strike/>
        </w:rPr>
        <w:t xml:space="preserve">shall</w:t>
      </w:r>
      <w:r>
        <w:t>))</w:t>
      </w:r>
      <w:r>
        <w:rPr/>
        <w:t xml:space="preserve"> </w:t>
      </w:r>
      <w:r>
        <w:rPr>
          <w:u w:val="single"/>
        </w:rPr>
        <w:t xml:space="preserve">must</w:t>
      </w:r>
      <w:r>
        <w:rPr/>
        <w:t xml:space="preserve"> be filed in the same manner as an original claim for deferral is filed under this chapter</w:t>
      </w:r>
      <w:r>
        <w:t>((</w:t>
      </w:r>
      <w:r>
        <w:rPr>
          <w:strike/>
        </w:rPr>
        <w:t xml:space="preserve">, not later than ninety days from the date of the claimant's death</w:t>
      </w:r>
      <w:r>
        <w:t>))</w:t>
      </w:r>
      <w:r>
        <w:rPr/>
        <w:t xml:space="preserve">. Thereupon, the property with respect to which the deferral of special assessments and/or real property taxes is claimed </w:t>
      </w:r>
      <w:r>
        <w:t>((</w:t>
      </w:r>
      <w:r>
        <w:rPr>
          <w:strike/>
        </w:rPr>
        <w:t xml:space="preserve">shall</w:t>
      </w:r>
      <w:r>
        <w:t>))</w:t>
      </w:r>
      <w:r>
        <w:rPr/>
        <w:t xml:space="preserve"> </w:t>
      </w:r>
      <w:r>
        <w:rPr>
          <w:u w:val="single"/>
        </w:rPr>
        <w:t xml:space="preserve">must</w:t>
      </w:r>
      <w:r>
        <w:rPr/>
        <w:t xml:space="preserve"> continue to be treated as deferred property. When the property has been continued in its deferred status by the filing of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of an election under this section,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may continue the property in its deferred status in subsequent years by filing a claim under this chapter so long as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meets the qualifications set out in this 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Tax Structure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tax structure work group created within the 2017-2019 operating budget (chapter 1, Laws of 2017 3rd sp. sess. (Substitute Senate Bill No. 5883)) is reauthorized and expanded to include nine voting members, appointed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(2) The work group must also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(3)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w:t>
      </w:r>
    </w:p>
    <w:p>
      <w:pPr>
        <w:spacing w:before="0" w:after="0" w:line="408" w:lineRule="exact"/>
        <w:ind w:left="0" w:right="0" w:firstLine="576"/>
        <w:jc w:val="left"/>
      </w:pPr>
      <w:r>
        <w:rPr/>
        <w:t xml:space="preserve">(4) Vacancies on the tax structure work group must be filled within sixty days of notice of the vacancy.</w:t>
      </w:r>
    </w:p>
    <w:p>
      <w:pPr>
        <w:spacing w:before="0" w:after="0" w:line="408" w:lineRule="exact"/>
        <w:ind w:left="0" w:right="0" w:firstLine="576"/>
        <w:jc w:val="left"/>
      </w:pPr>
      <w:r>
        <w:rPr/>
        <w:t xml:space="preserve">(5) The work group must choose a chair or cochairs from among its legislative membership. The chair is, or cochairs are, responsible for convening the meetings of the work group no less than quarterly each year.</w:t>
      </w:r>
    </w:p>
    <w:p>
      <w:pPr>
        <w:spacing w:before="0" w:after="0" w:line="408" w:lineRule="exact"/>
        <w:ind w:left="0" w:right="0" w:firstLine="576"/>
        <w:jc w:val="left"/>
      </w:pPr>
      <w:r>
        <w:rPr/>
        <w:t xml:space="preserve">(6) Voting on recommendations and other decisions of the work group are to be agreed upon by a simple majority vote. All work group members may have a representative attend meetings of the tax structure work group in lieu of the member, but voting by proxy is not permitted.</w:t>
      </w:r>
    </w:p>
    <w:p>
      <w:pPr>
        <w:spacing w:before="0" w:after="0" w:line="408" w:lineRule="exact"/>
        <w:ind w:left="0" w:right="0" w:firstLine="576"/>
        <w:jc w:val="left"/>
      </w:pPr>
      <w:r>
        <w:rPr/>
        <w:t xml:space="preserve">(7) The duties of the department of revenue, with assistance of a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(a)(ii) and (iii) of this subsection; and</w:t>
      </w:r>
    </w:p>
    <w:p>
      <w:pPr>
        <w:spacing w:before="0" w:after="0" w:line="408" w:lineRule="exact"/>
        <w:ind w:left="0" w:right="0" w:firstLine="576"/>
        <w:jc w:val="left"/>
      </w:pPr>
      <w:r>
        <w:rPr/>
        <w:t xml:space="preserve">(v) Estimate how much revenue would have been generated in the 2017-2019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biennium, had Washington adopted the tax structure of those states, assuming the economic tax base for the 2017-2019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(8) To assist the work group with its duties, the department of revenue must create one or more technical advisory group(s) that:</w:t>
      </w:r>
    </w:p>
    <w:p>
      <w:pPr>
        <w:spacing w:before="0" w:after="0" w:line="408" w:lineRule="exact"/>
        <w:ind w:left="0" w:right="0" w:firstLine="576"/>
        <w:jc w:val="left"/>
      </w:pPr>
      <w:r>
        <w:rPr/>
        <w:t xml:space="preserve">(a) Must include at least one:</w:t>
      </w:r>
    </w:p>
    <w:p>
      <w:pPr>
        <w:spacing w:before="0" w:after="0" w:line="408" w:lineRule="exact"/>
        <w:ind w:left="0" w:right="0" w:firstLine="576"/>
        <w:jc w:val="left"/>
      </w:pPr>
      <w:r>
        <w:rPr/>
        <w:t xml:space="preserve">(i) Academic scholar from research institutions in the fields of economics, taxation, business administration, public administration, public policy, or other relevant disciplines as determined by the work group;</w:t>
      </w:r>
    </w:p>
    <w:p>
      <w:pPr>
        <w:spacing w:before="0" w:after="0" w:line="408" w:lineRule="exact"/>
        <w:ind w:left="0" w:right="0" w:firstLine="576"/>
        <w:jc w:val="left"/>
      </w:pPr>
      <w:r>
        <w:rPr/>
        <w:t xml:space="preserve">(ii) Academic scholar or other recognized expert in the fields of artificial intelligence, the automated economy, or labor primarily provided on a freelance or temporary basis;</w:t>
      </w:r>
    </w:p>
    <w:p>
      <w:pPr>
        <w:spacing w:before="0" w:after="0" w:line="408" w:lineRule="exact"/>
        <w:ind w:left="0" w:right="0" w:firstLine="576"/>
        <w:jc w:val="left"/>
      </w:pPr>
      <w:r>
        <w:rPr/>
        <w:t xml:space="preserve">(iii) Expert in international trade;</w:t>
      </w:r>
    </w:p>
    <w:p>
      <w:pPr>
        <w:spacing w:before="0" w:after="0" w:line="408" w:lineRule="exact"/>
        <w:ind w:left="0" w:right="0" w:firstLine="576"/>
        <w:jc w:val="left"/>
      </w:pPr>
      <w:r>
        <w:rPr/>
        <w:t xml:space="preserve">(iv) Expert in economic theory;</w:t>
      </w:r>
    </w:p>
    <w:p>
      <w:pPr>
        <w:spacing w:before="0" w:after="0" w:line="408" w:lineRule="exact"/>
        <w:ind w:left="0" w:right="0" w:firstLine="576"/>
        <w:jc w:val="left"/>
      </w:pPr>
      <w:r>
        <w:rPr/>
        <w:t xml:space="preserve">(v) Expert in federal Indian tax law selected by the governor's office of Indian affairs; and</w:t>
      </w:r>
    </w:p>
    <w:p>
      <w:pPr>
        <w:spacing w:before="0" w:after="0" w:line="408" w:lineRule="exact"/>
        <w:ind w:left="0" w:right="0" w:firstLine="576"/>
        <w:jc w:val="left"/>
      </w:pPr>
      <w:r>
        <w:rPr/>
        <w:t xml:space="preserve">(vi) Tax law practitioner, such as a certified public accountant, tax attorney, or other tax preparation professional; and</w:t>
      </w:r>
    </w:p>
    <w:p>
      <w:pPr>
        <w:spacing w:before="0" w:after="0" w:line="408" w:lineRule="exact"/>
        <w:ind w:left="0" w:right="0" w:firstLine="576"/>
        <w:jc w:val="left"/>
      </w:pPr>
      <w:r>
        <w:rPr/>
        <w:t xml:space="preserve">(b) May include academic scholars and experts from regional universities and community and technical colleges from diverse regions across the state in the fields of economics, taxation, business administration, public administration, and public policy. The department must ensure that the perspective of different regional economies are represented by members of the technical advisory group.</w:t>
      </w:r>
    </w:p>
    <w:p>
      <w:pPr>
        <w:spacing w:before="0" w:after="0" w:line="408" w:lineRule="exact"/>
        <w:ind w:left="0" w:right="0" w:firstLine="576"/>
        <w:jc w:val="left"/>
      </w:pPr>
      <w:r>
        <w:rPr/>
        <w:t xml:space="preserve">(9) Per the recommendations of the 2018 tax structure work group, the work group is required to develop policy proposals for consideration by the appropriate fiscal committees of the legislature. Any policy proposals developed by the work group may include the analysis done under subsection (7) of this section but proposals are not limited to only the analysis done by the department. Any policy proposals made to the legislature may not result in a loss of revenue to the state as compared to the most recent biennial revenue forecast published by the economic and revenue forecast council. In developing the policy proposals, the work group must be guided by principles for a well-designed tax system, namely, equity, adequacy, stability, and transparency, and address the following key challenges of the Washington state tax structure, as identified by the 2018 report of the tax structure work group:</w:t>
      </w:r>
    </w:p>
    <w:p>
      <w:pPr>
        <w:spacing w:before="0" w:after="0" w:line="408" w:lineRule="exact"/>
        <w:ind w:left="0" w:right="0" w:firstLine="576"/>
        <w:jc w:val="left"/>
      </w:pPr>
      <w:r>
        <w:rPr/>
        <w:t xml:space="preserve">(a) Regressive nature of the tax code;</w:t>
      </w:r>
    </w:p>
    <w:p>
      <w:pPr>
        <w:spacing w:before="0" w:after="0" w:line="408" w:lineRule="exact"/>
        <w:ind w:left="0" w:right="0" w:firstLine="576"/>
        <w:jc w:val="left"/>
      </w:pPr>
      <w:r>
        <w:rPr/>
        <w:t xml:space="preserve">(b) Negative impact of the business and occupation tax on small, start-up, and low-margin businesses;</w:t>
      </w:r>
    </w:p>
    <w:p>
      <w:pPr>
        <w:spacing w:before="0" w:after="0" w:line="408" w:lineRule="exact"/>
        <w:ind w:left="0" w:right="0" w:firstLine="576"/>
        <w:jc w:val="left"/>
      </w:pPr>
      <w:r>
        <w:rPr/>
        <w:t xml:space="preserve">(c) Need to modernize the tax structure to reflect the changing economy; and</w:t>
      </w:r>
    </w:p>
    <w:p>
      <w:pPr>
        <w:spacing w:before="0" w:after="0" w:line="408" w:lineRule="exact"/>
        <w:ind w:left="0" w:right="0" w:firstLine="576"/>
        <w:jc w:val="left"/>
      </w:pPr>
      <w:r>
        <w:rPr/>
        <w:t xml:space="preserve">(d) Excessive number of tax preferences and exemptions.</w:t>
      </w:r>
    </w:p>
    <w:p>
      <w:pPr>
        <w:spacing w:before="0" w:after="0" w:line="408" w:lineRule="exact"/>
        <w:ind w:left="0" w:right="0" w:firstLine="576"/>
        <w:jc w:val="left"/>
      </w:pPr>
      <w:r>
        <w:rPr/>
        <w:t xml:space="preserve">(10) The work group must complete its duties on the following schedule:</w:t>
      </w:r>
    </w:p>
    <w:p>
      <w:pPr>
        <w:spacing w:before="0" w:after="0" w:line="408" w:lineRule="exact"/>
        <w:ind w:left="0" w:right="0" w:firstLine="576"/>
        <w:jc w:val="left"/>
      </w:pPr>
      <w:r>
        <w:rPr/>
        <w:t xml:space="preserve">(a) By December 31, 2019, convene no less than one meeting to elect a chair, or cochairs, and conduct other business of the work group;</w:t>
      </w:r>
    </w:p>
    <w:p>
      <w:pPr>
        <w:spacing w:before="0" w:after="0" w:line="408" w:lineRule="exact"/>
        <w:ind w:left="0" w:right="0" w:firstLine="576"/>
        <w:jc w:val="left"/>
      </w:pPr>
      <w:r>
        <w:rPr/>
        <w:t xml:space="preserve">(b) By December 1, 2020, the department of revenue and technical advisory group must prepare a summary report of their preliminary findings and alternatives as described in subsection (7) of this 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subsection (7) of this section. At least one meeting must engage stakeholder groups. These stakeholder groups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and/or associations expressly dedicated to representing these businesses; and</w:t>
      </w:r>
    </w:p>
    <w:p>
      <w:pPr>
        <w:spacing w:before="0" w:after="0" w:line="408" w:lineRule="exact"/>
        <w:ind w:left="0" w:right="0" w:firstLine="576"/>
        <w:jc w:val="left"/>
      </w:pPr>
      <w:r>
        <w:rPr/>
        <w:t xml:space="preserve">(B) Individual taxpayers with income at or below one hundred percent of area median income in their county of residence and/or organizations expressly dedicated to representing low-income and middle-income taxpayers;</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(d) of this subsection;</w:t>
      </w:r>
    </w:p>
    <w:p>
      <w:pPr>
        <w:spacing w:before="0" w:after="0" w:line="408" w:lineRule="exact"/>
        <w:ind w:left="0" w:right="0" w:firstLine="576"/>
        <w:jc w:val="left"/>
      </w:pPr>
      <w:r>
        <w:rPr/>
        <w:t xml:space="preserve">(iii) Present the summary report described in (b)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w:t>
      </w:r>
    </w:p>
    <w:p>
      <w:pPr>
        <w:spacing w:before="0" w:after="0" w:line="408" w:lineRule="exact"/>
        <w:ind w:left="0" w:right="0" w:firstLine="576"/>
        <w:jc w:val="left"/>
      </w:pPr>
      <w:r>
        <w:rPr/>
        <w:t xml:space="preserve">(A) The findings and alternatives included in the summary report described in (b)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and alternatives described in (b) of this subsection, and collecting feedback to inform development of recommendations; and</w:t>
      </w:r>
    </w:p>
    <w:p>
      <w:pPr>
        <w:spacing w:before="0" w:after="0" w:line="408" w:lineRule="exact"/>
        <w:ind w:left="0" w:right="0" w:firstLine="576"/>
        <w:jc w:val="left"/>
      </w:pPr>
      <w:r>
        <w:rPr/>
        <w:t xml:space="preserve">(v) Finalize the logistics of the engagement strategies described in (d) of this subsection;</w:t>
      </w:r>
    </w:p>
    <w:p>
      <w:pPr>
        <w:spacing w:before="0" w:after="0" w:line="408" w:lineRule="exact"/>
        <w:ind w:left="0" w:right="0" w:firstLine="576"/>
        <w:jc w:val="left"/>
      </w:pPr>
      <w:r>
        <w:rPr/>
        <w:t xml:space="preserve">(d) Between the conclusion of the 2021 legislative session and December 31, 2021, the work group must:</w:t>
      </w:r>
    </w:p>
    <w:p>
      <w:pPr>
        <w:spacing w:before="0" w:after="0" w:line="408" w:lineRule="exact"/>
        <w:ind w:left="0" w:right="0" w:firstLine="576"/>
        <w:jc w:val="left"/>
      </w:pPr>
      <w:r>
        <w:rPr/>
        <w:t xml:space="preserve">(i) Hold no less than five public meetings in geographically dispersed areas of the state; </w:t>
      </w:r>
    </w:p>
    <w:p>
      <w:pPr>
        <w:spacing w:before="0" w:after="0" w:line="408" w:lineRule="exact"/>
        <w:ind w:left="0" w:right="0" w:firstLine="576"/>
        <w:jc w:val="left"/>
      </w:pPr>
      <w:r>
        <w:rPr/>
        <w:t xml:space="preserve">(ii) Present the findings described in (b)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(b) of this subsection;</w:t>
      </w:r>
    </w:p>
    <w:p>
      <w:pPr>
        <w:spacing w:before="0" w:after="0" w:line="408" w:lineRule="exact"/>
        <w:ind w:left="0" w:right="0" w:firstLine="576"/>
        <w:jc w:val="left"/>
      </w:pPr>
      <w:r>
        <w:rPr/>
        <w:t xml:space="preserve">(e) During the 2022 legislative session, the work group must:</w:t>
      </w:r>
    </w:p>
    <w:p>
      <w:pPr>
        <w:spacing w:before="0" w:after="0" w:line="408" w:lineRule="exact"/>
        <w:ind w:left="0" w:right="0" w:firstLine="576"/>
        <w:jc w:val="left"/>
      </w:pPr>
      <w:r>
        <w:rPr/>
        <w:t xml:space="preserve">(i) Present the findings and reports described in (b) and (d) of this subsection to the appropriate committees of the legislature; and</w:t>
      </w:r>
    </w:p>
    <w:p>
      <w:pPr>
        <w:spacing w:before="0" w:after="0" w:line="408" w:lineRule="exact"/>
        <w:ind w:left="0" w:right="0" w:firstLine="576"/>
        <w:jc w:val="left"/>
      </w:pPr>
      <w:r>
        <w:rPr/>
        <w:t xml:space="preserve">(ii) Be available to deliver a presentation to and/or participate in a work session for the appropriate committees of the legislature;</w:t>
      </w:r>
    </w:p>
    <w:p>
      <w:pPr>
        <w:spacing w:before="0" w:after="0" w:line="408" w:lineRule="exact"/>
        <w:ind w:left="0" w:right="0" w:firstLine="576"/>
        <w:jc w:val="left"/>
      </w:pPr>
      <w:r>
        <w:rPr/>
        <w:t xml:space="preserve">(f)(i) Between the conclusion of the 2022 legislative session and December 31, 2022, the work group is directed to finalize policy recommendations and develop legislation to implement modifications to the tax structure, informed by the findings described in (b) of this subsection and the feedback received from taxpayers as reflected in the report described in (d) of this subsection;</w:t>
      </w:r>
    </w:p>
    <w:p>
      <w:pPr>
        <w:spacing w:before="0" w:after="0" w:line="408" w:lineRule="exact"/>
        <w:ind w:left="0" w:right="0" w:firstLine="576"/>
        <w:jc w:val="left"/>
      </w:pPr>
      <w:r>
        <w:rPr/>
        <w:t xml:space="preserve">(ii) During the 2023 legislative session, it is the intent of the legislature to consider the proposal described in (f)(i) of this subsection;</w:t>
      </w:r>
    </w:p>
    <w:p>
      <w:pPr>
        <w:spacing w:before="0" w:after="0" w:line="408" w:lineRule="exact"/>
        <w:ind w:left="0" w:right="0" w:firstLine="576"/>
        <w:jc w:val="left"/>
      </w:pPr>
      <w:r>
        <w:rPr/>
        <w:t xml:space="preserve">(iii)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The work group is directed to modify the proposal to address the feedback collected during the public meetings;</w:t>
      </w:r>
    </w:p>
    <w:p>
      <w:pPr>
        <w:spacing w:before="0" w:after="0" w:line="408" w:lineRule="exact"/>
        <w:ind w:left="0" w:right="0" w:firstLine="576"/>
        <w:jc w:val="left"/>
      </w:pPr>
      <w:r>
        <w:rPr/>
        <w:t xml:space="preserve">(iv) During the 2024 legislative session, it is the intent of the legislature to consider the modified proposal described in (f)(iii) of this subsection; and</w:t>
      </w:r>
    </w:p>
    <w:p>
      <w:pPr>
        <w:spacing w:before="0" w:after="0" w:line="408" w:lineRule="exact"/>
        <w:ind w:left="0" w:right="0" w:firstLine="576"/>
        <w:jc w:val="left"/>
      </w:pPr>
      <w:r>
        <w:rPr/>
        <w:t xml:space="preserve">(g) By December 31, 2024,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(11) Staff support for the work group must be provided by the department of revenue, subject to the degree such support is funded through appropriation. The department of revenue may engage one or more outside consultant(s) to assist in providing support for the work group.</w:t>
      </w:r>
    </w:p>
    <w:p>
      <w:pPr>
        <w:spacing w:before="0" w:after="0" w:line="408" w:lineRule="exact"/>
        <w:ind w:left="0" w:right="0" w:firstLine="576"/>
        <w:jc w:val="left"/>
      </w:pPr>
      <w:r>
        <w:rPr/>
        <w:t xml:space="preserve">(12)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(13) This section expires December 31, 2024.</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Part V of this act applies for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parts II, IV, and V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Parts II, III, IV, and VI of this act are necessary for the immediate preservation of the public peace, health, or safety, or support of the state government and its existing public institutions, and take effect July 1, 2019.</w:t>
      </w:r>
    </w:p>
    <w:p/>
    <w:p>
      <w:pPr>
        <w:jc w:val="center"/>
      </w:pPr>
      <w:r>
        <w:rPr>
          <w:b/>
        </w:rPr>
        <w:t>--- END ---</w:t>
      </w:r>
    </w:p>
    <w:sectPr>
      <w:pgNumType w:start="1"/>
      <w:footerReference xmlns:r="http://schemas.openxmlformats.org/officeDocument/2006/relationships" r:id="Rde0a3eed645446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2c183cd65940a3" /><Relationship Type="http://schemas.openxmlformats.org/officeDocument/2006/relationships/footer" Target="/word/footer1.xml" Id="Rde0a3eed6454460a" /></Relationships>
</file>