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00a8c04c9d415c" /></Relationships>
</file>

<file path=word/document.xml><?xml version="1.0" encoding="utf-8"?>
<w:document xmlns:w="http://schemas.openxmlformats.org/wordprocessingml/2006/main">
  <w:body>
    <w:p>
      <w:r>
        <w:t>H-2950.3</w:t>
      </w:r>
    </w:p>
    <w:p>
      <w:pPr>
        <w:jc w:val="center"/>
      </w:pPr>
      <w:r>
        <w:t>_______________________________________________</w:t>
      </w:r>
    </w:p>
    <w:p/>
    <w:p>
      <w:pPr>
        <w:jc w:val="center"/>
      </w:pPr>
      <w:r>
        <w:rPr>
          <w:b/>
        </w:rPr>
        <w:t>HOUSE BILL 2170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Caldier, Cody, and Macri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material changes to the operations or governance structure of participants in the health care marketplace; amending RCW 19.--.---, 19.--.---, and 19.--.---;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w:t>
      </w:r>
      <w:r>
        <w:rPr/>
        <w:t xml:space="preserve">.</w:t>
      </w:r>
      <w:r>
        <w:t xml:space="preserve">---</w:t>
      </w:r>
      <w:r>
        <w:rPr/>
        <w:t xml:space="preserve"> and 2019 c ... (SHB 1607) s 3 are each amended to read as follows:</w:t>
      </w:r>
    </w:p>
    <w:p>
      <w:pPr>
        <w:spacing w:before="0" w:after="0" w:line="408" w:lineRule="exact"/>
        <w:ind w:left="0" w:right="0" w:firstLine="576"/>
        <w:jc w:val="left"/>
      </w:pPr>
      <w:r>
        <w:rPr/>
        <w:t xml:space="preserve">(1) Not less than sixty days prior to the effective date of any transaction that results in a material change, the parties to the transaction shall submit written notice to the attorney general of such material change.</w:t>
      </w:r>
    </w:p>
    <w:p>
      <w:pPr>
        <w:spacing w:before="0" w:after="0" w:line="408" w:lineRule="exact"/>
        <w:ind w:left="0" w:right="0" w:firstLine="576"/>
        <w:jc w:val="left"/>
      </w:pPr>
      <w:r>
        <w:rPr/>
        <w:t xml:space="preserve">(2) For the purposes of this section, a material change includes a merger, acquisition, or contracting affiliation between two or more entities of the following types:</w:t>
      </w:r>
    </w:p>
    <w:p>
      <w:pPr>
        <w:spacing w:before="0" w:after="0" w:line="408" w:lineRule="exact"/>
        <w:ind w:left="0" w:right="0" w:firstLine="576"/>
        <w:jc w:val="left"/>
      </w:pPr>
      <w:r>
        <w:rPr/>
        <w:t xml:space="preserve">(a) </w:t>
      </w:r>
      <w:r>
        <w:rPr>
          <w:u w:val="single"/>
        </w:rPr>
        <w:t xml:space="preserve">Carriers;</w:t>
      </w:r>
    </w:p>
    <w:p>
      <w:pPr>
        <w:spacing w:before="0" w:after="0" w:line="408" w:lineRule="exact"/>
        <w:ind w:left="0" w:right="0" w:firstLine="576"/>
        <w:jc w:val="left"/>
      </w:pPr>
      <w:r>
        <w:rPr>
          <w:u w:val="single"/>
        </w:rPr>
        <w:t xml:space="preserve">(b)</w:t>
      </w:r>
      <w:r>
        <w:rPr/>
        <w:t xml:space="preserve"> Hospitals;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Hospital systems;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Provider organizations.</w:t>
      </w:r>
    </w:p>
    <w:p>
      <w:pPr>
        <w:spacing w:before="0" w:after="0" w:line="408" w:lineRule="exact"/>
        <w:ind w:left="0" w:right="0" w:firstLine="576"/>
        <w:jc w:val="left"/>
      </w:pPr>
      <w:r>
        <w:rPr/>
        <w:t xml:space="preserve">(3) A material change includes proposed changes identified in subsection (2) of this section between a Washington entity and an out-of-state entity where the out-of-state entity generates ten million dollars or more in health care services revenue from patients residing in Washington state, and the entities are of the types identified in subsection (2) of this section. Any party to a material change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w:t>
      </w:r>
      <w:r>
        <w:rPr>
          <w:u w:val="single"/>
        </w:rPr>
        <w:t xml:space="preserve">carriers,</w:t>
      </w:r>
      <w:r>
        <w:rPr/>
        <w:t xml:space="preserve"> hospitals, hospital systems, or provider organizations only qualifies as a material change if the </w:t>
      </w:r>
      <w:r>
        <w:rPr>
          <w:u w:val="single"/>
        </w:rPr>
        <w:t xml:space="preserve">carriers,</w:t>
      </w:r>
      <w:r>
        <w:rPr/>
        <w:t xml:space="preserve"> hospitals, hospital systems, or provider organizations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w:t>
      </w:r>
      <w:r>
        <w:rPr/>
        <w:t xml:space="preserve">.</w:t>
      </w:r>
      <w:r>
        <w:t xml:space="preserve">---</w:t>
      </w:r>
      <w:r>
        <w:rPr/>
        <w:t xml:space="preserve"> and 2019 c ... (SHB 1607) s 6 are each amended to read as follows:</w:t>
      </w:r>
    </w:p>
    <w:p>
      <w:pPr>
        <w:spacing w:before="0" w:after="0" w:line="408" w:lineRule="exact"/>
        <w:ind w:left="0" w:right="0" w:firstLine="576"/>
        <w:jc w:val="left"/>
      </w:pPr>
      <w:r>
        <w:rPr/>
        <w:t xml:space="preserve">Any </w:t>
      </w:r>
      <w:r>
        <w:t>((</w:t>
      </w:r>
      <w:r>
        <w:rPr>
          <w:strike/>
        </w:rPr>
        <w:t xml:space="preserve">provider</w:t>
      </w:r>
      <w:r>
        <w:t>))</w:t>
      </w:r>
      <w:r>
        <w:rPr/>
        <w:t xml:space="preserve"> </w:t>
      </w:r>
      <w:r>
        <w:rPr>
          <w:u w:val="single"/>
        </w:rPr>
        <w:t xml:space="preserve">carrier, hospital, hospital system,</w:t>
      </w:r>
      <w:r>
        <w:rPr/>
        <w:t xml:space="preserve"> or provider organization conducting business in this state that files a premerger notification with the federal trade commission or the United States department of justice, in compliance with the Hart-Scott-Rodino antitrust improvements act, Title 15 U.S.C. Sec. 18a, shall provide a copy of such filing to the attorney general. Providing a copy of the Hart-Scott-Rodino filing to the attorney general satisfies the notice requirement under RCW 19.--.--- (section 4, chapter . . . (SHB 1607),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w:t>
      </w:r>
      <w:r>
        <w:rPr/>
        <w:t xml:space="preserve">.</w:t>
      </w:r>
      <w:r>
        <w:t xml:space="preserve">---</w:t>
      </w:r>
      <w:r>
        <w:rPr/>
        <w:t xml:space="preserve"> and 2019 c ... (SHB) 1607) s 9 are each amended to read as follows:</w:t>
      </w:r>
    </w:p>
    <w:p>
      <w:pPr>
        <w:spacing w:before="0" w:after="0" w:line="408" w:lineRule="exact"/>
        <w:ind w:left="0" w:right="0" w:firstLine="576"/>
        <w:jc w:val="left"/>
      </w:pPr>
      <w:r>
        <w:rPr/>
        <w:t xml:space="preserve">The notice requirement in RCW 19.--.--- (section 3, chapter . . . (SHB 1607), Laws of 2019) applies to transactions with an anticipated effective date on or after January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Substitute House Bill No. 1607 takes effect.</w:t>
      </w:r>
    </w:p>
    <w:p/>
    <w:p>
      <w:pPr>
        <w:jc w:val="center"/>
      </w:pPr>
      <w:r>
        <w:rPr>
          <w:b/>
        </w:rPr>
        <w:t>--- END ---</w:t>
      </w:r>
    </w:p>
    <w:sectPr>
      <w:pgNumType w:start="1"/>
      <w:footerReference xmlns:r="http://schemas.openxmlformats.org/officeDocument/2006/relationships" r:id="R2dbeeff5d3b648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7e10800184ae7" /><Relationship Type="http://schemas.openxmlformats.org/officeDocument/2006/relationships/footer" Target="/word/footer1.xml" Id="R2dbeeff5d3b64886" /></Relationships>
</file>