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eb1a5ca2f41a8" /></Relationships>
</file>

<file path=word/document.xml><?xml version="1.0" encoding="utf-8"?>
<w:document xmlns:w="http://schemas.openxmlformats.org/wordprocessingml/2006/main">
  <w:body>
    <w:p>
      <w:r>
        <w:t>Z-0637.2</w:t>
      </w:r>
    </w:p>
    <w:p>
      <w:pPr>
        <w:jc w:val="center"/>
      </w:pPr>
      <w:r>
        <w:t>_______________________________________________</w:t>
      </w:r>
    </w:p>
    <w:p/>
    <w:p>
      <w:pPr>
        <w:jc w:val="center"/>
      </w:pPr>
      <w:r>
        <w:rPr>
          <w:b/>
        </w:rPr>
        <w:t>HOUSE BILL 2205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Goodman, Dufault, and Appleton</w:t>
      </w:r>
    </w:p>
    <w:p/>
    <w:p>
      <w:r>
        <w:rPr>
          <w:t xml:space="preserve">Prefiled 12/06/19.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9A.42.010, 28A.400.210, 41.05.175, 43.09.025, 46.18.255, 46.18.265, 46.18.285, 46.18.290, 48.20.389, 48.21.223, 48.44.323, 48.46.274, 64.50.010, 69.50.414, and 69.52.030; reenacting and amending RCW 43.79A.040, 43.84.092, 10.77.088, and 70.105D.030;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Sections 2 and 3 of this act correct the accounts and funds listed in the code sections providing for interest income by moving misplaced accounts and funds, removing repealed accounts and funds, and making account and fund names more uniform.</w:t>
      </w:r>
    </w:p>
    <w:p>
      <w:pPr>
        <w:spacing w:before="0" w:after="0" w:line="408" w:lineRule="exact"/>
        <w:ind w:left="0" w:right="0" w:firstLine="576"/>
        <w:jc w:val="left"/>
      </w:pPr>
      <w:r>
        <w:rPr/>
        <w:t xml:space="preserve">(2) Sections 4 and 5 of this act merge double amendments created when sections were amended in the 2019 legislative session without reference to the amendments made in the same session.</w:t>
      </w:r>
    </w:p>
    <w:p>
      <w:pPr>
        <w:spacing w:before="0" w:after="0" w:line="408" w:lineRule="exact"/>
        <w:ind w:left="0" w:right="0" w:firstLine="576"/>
        <w:jc w:val="left"/>
      </w:pPr>
      <w:r>
        <w:rPr/>
        <w:t xml:space="preserve">(3) Sections 6 through 20 of this act amend sections to reflect changes in subsection numbering of cross-referenced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w:t>
      </w:r>
      <w:r>
        <w:t>((</w:t>
      </w:r>
      <w:r>
        <w:rPr>
          <w:strike/>
        </w:rPr>
        <w:t xml:space="preserve">advanced</w:t>
      </w:r>
      <w:r>
        <w:t>))</w:t>
      </w:r>
      <w:r>
        <w:rPr/>
        <w:t xml:space="preserve"> </w:t>
      </w:r>
      <w:r>
        <w:rPr>
          <w:u w:val="single"/>
        </w:rPr>
        <w:t xml:space="preserve">advance</w:t>
      </w:r>
      <w:r>
        <w:rPr/>
        <w:t xml:space="preserv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w:t>
      </w:r>
      <w:r>
        <w:t>((</w:t>
      </w:r>
      <w:r>
        <w:rPr>
          <w:strike/>
        </w:rPr>
        <w:t xml:space="preserve">the aircraft search and rescue account,</w:t>
      </w:r>
      <w:r>
        <w:t>))</w:t>
      </w:r>
      <w:r>
        <w:rPr/>
        <w:t xml:space="preserve"> the Alaskan Way viaduct replacement project account, the brownfield redevelopment trust fund account, the budget stabilization account, the capital vessel replacement account, the capitol building construction account, </w:t>
      </w:r>
      <w:r>
        <w:t>((</w:t>
      </w:r>
      <w:r>
        <w:rPr>
          <w:strike/>
        </w:rPr>
        <w:t xml:space="preserve">the Cedar River channel construction and operation account,</w:t>
      </w:r>
      <w:r>
        <w:t>))</w:t>
      </w:r>
      <w:r>
        <w:rPr/>
        <w:t xml:space="preserve">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t>((</w:t>
      </w:r>
      <w:r>
        <w:rPr>
          <w:strike/>
        </w:rPr>
        <w:t xml:space="preserve">the department of licensing tuition recovery trust fund,</w:t>
      </w:r>
      <w:r>
        <w:t>))</w:t>
      </w:r>
      <w:r>
        <w:rPr/>
        <w:t xml:space="preserve"> the department of retirement systems expense account, the developmental disabilities community trust account, the diesel idle reduction account, the drinking water assistance account, the </w:t>
      </w:r>
      <w:r>
        <w:rPr>
          <w:u w:val="single"/>
        </w:rPr>
        <w:t xml:space="preserve">administrative subaccount of the</w:t>
      </w:r>
      <w:r>
        <w:rPr/>
        <w:t xml:space="preserve"> drinking water assistance </w:t>
      </w:r>
      <w:r>
        <w:t>((</w:t>
      </w:r>
      <w:r>
        <w:rPr>
          <w:strike/>
        </w:rPr>
        <w:t xml:space="preserve">administrative</w:t>
      </w:r>
      <w:r>
        <w:t>))</w:t>
      </w:r>
      <w:r>
        <w:rPr/>
        <w:t xml:space="preser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t>((</w:t>
      </w:r>
      <w:r>
        <w:rPr>
          <w:strike/>
        </w:rPr>
        <w:t xml:space="preserve">the federal forest revolving account,</w:t>
      </w:r>
      <w:r>
        <w: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w:t>
      </w:r>
      <w:r>
        <w:t>((</w:t>
      </w:r>
      <w:r>
        <w:rPr>
          <w:strike/>
        </w:rPr>
        <w:t xml:space="preserve">the industrial insurance premium refund account,</w:t>
      </w:r>
      <w:r>
        <w:t>))</w:t>
      </w:r>
      <w:r>
        <w:rPr/>
        <w:t xml:space="preserve">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w:t>
      </w:r>
      <w:r>
        <w:t>((</w:t>
      </w:r>
      <w:r>
        <w:rPr>
          <w:strike/>
        </w:rPr>
        <w:t xml:space="preserve">the mobile home park relocation fund,</w:t>
      </w:r>
      <w:r>
        <w:t>))</w:t>
      </w:r>
      <w:r>
        <w:rPr/>
        <w:t xml:space="preserve">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w:t>
      </w:r>
      <w:r>
        <w:t>((</w:t>
      </w:r>
      <w:r>
        <w:rPr>
          <w:strike/>
        </w:rPr>
        <w:t xml:space="preserve">the natural resources deposit account,</w:t>
      </w:r>
      <w:r>
        <w:t>))</w:t>
      </w:r>
      <w:r>
        <w:rPr/>
        <w:t xml:space="preserve">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w:t>
      </w:r>
      <w:r>
        <w:t>((</w:t>
      </w:r>
      <w:r>
        <w:rPr>
          <w:strike/>
        </w:rPr>
        <w:t xml:space="preserve">beginning July 1, 2004</w:t>
      </w:r>
      <w:r>
        <w:t>))</w:t>
      </w:r>
      <w:r>
        <w:rPr/>
        <w:t xml:space="preserve">,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w:t>
      </w:r>
      <w:r>
        <w:rPr>
          <w:u w:val="single"/>
        </w:rPr>
        <w:t xml:space="preserve">the state reclamation revolving account,</w:t>
      </w:r>
      <w:r>
        <w:rPr/>
        <w:t xml:space="preserve"> the state route number 520 civil penalties account, the state route number 520 corridor account, the state wildlife account, the statewide broadband account, the statewide tourism marketing account, </w:t>
      </w:r>
      <w:r>
        <w:t>((</w:t>
      </w:r>
      <w:r>
        <w:rPr>
          <w:strike/>
        </w:rPr>
        <w:t xml:space="preserve">the student achievement council tuition recovery trust fund,</w:t>
      </w:r>
      <w:r>
        <w: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w:t>
      </w:r>
      <w:r>
        <w:t>((</w:t>
      </w:r>
      <w:r>
        <w:rPr>
          <w:strike/>
        </w:rPr>
        <w:t xml:space="preserve">the tuition recovery trust fund,</w:t>
      </w:r>
      <w:r>
        <w:t>))</w:t>
      </w:r>
      <w:r>
        <w:rPr/>
        <w:t xml:space="preserve">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w:t>
      </w:r>
      <w:r>
        <w:t>((</w:t>
      </w:r>
      <w:r>
        <w:rPr>
          <w:strike/>
        </w:rPr>
        <w:t xml:space="preserve">the Washington state health insurance pool account,</w:t>
      </w:r>
      <w:r>
        <w:t>))</w:t>
      </w:r>
      <w:r>
        <w:rPr/>
        <w:t xml:space="preserve">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w:t>
      </w:r>
      <w:r>
        <w:rPr>
          <w:u w:val="single"/>
        </w:rPr>
        <w:t xml:space="preserve">and</w:t>
      </w:r>
      <w:r>
        <w:rPr/>
        <w:t xml:space="preserve"> the state university permanent fund</w:t>
      </w:r>
      <w:r>
        <w:t>((</w:t>
      </w:r>
      <w:r>
        <w:rPr>
          <w:strike/>
        </w:rPr>
        <w:t xml:space="preserve">, and the state reclamation revolving account</w:t>
      </w:r>
      <w:r>
        <w:t>))</w:t>
      </w:r>
      <w:r>
        <w:rPr/>
        <w:t xml:space="preserve">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2019 c 326 s 5 and 2019 c 248 s 1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then the court shall commit the defendant to the custody of the secretary 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t xml:space="preserve">(A) Adhere to medications or receive prescribed intramuscular medication; and</w:t>
      </w:r>
    </w:p>
    <w:p>
      <w:pPr>
        <w:spacing w:before="0" w:after="0" w:line="408" w:lineRule="exact"/>
        <w:ind w:left="0" w:right="0" w:firstLine="576"/>
        <w:jc w:val="left"/>
      </w:pPr>
      <w:r>
        <w:rPr/>
        <w:t xml:space="preserve">(B) Abstain from alcohol and unprescribed drugs.</w:t>
      </w:r>
    </w:p>
    <w:p>
      <w:pPr>
        <w:spacing w:before="0" w:after="0" w:line="408" w:lineRule="exact"/>
        <w:ind w:left="0" w:right="0" w:firstLine="576"/>
        <w:jc w:val="left"/>
      </w:pPr>
      <w:r>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(b) The placement under (a) of this subsection shall not exceed twenty-nine days if the defendant is ordered to receive inpatient competency restoration, or shall not exceed ninety days if the defendant is ordered to receive outpatient competency restoration. The court may order any combination of this subsection, not to exceed ninety days. 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(c)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(d) of this subsection.</w:t>
      </w:r>
    </w:p>
    <w:p>
      <w:pPr>
        <w:spacing w:before="0" w:after="0" w:line="408" w:lineRule="exact"/>
        <w:ind w:left="0" w:right="0" w:firstLine="576"/>
        <w:jc w:val="left"/>
      </w:pPr>
      <w:r>
        <w:rPr/>
        <w:t xml:space="preserve">(d)(i)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(3)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at any time the court dismisses charges under subsection</w:t>
      </w:r>
      <w:r>
        <w:rPr>
          <w:u w:val="single"/>
        </w:rPr>
        <w:t xml:space="preserve">s</w:t>
      </w:r>
      <w:r>
        <w:rPr/>
        <w:t xml:space="preserve"> (1) </w:t>
      </w:r>
      <w:r>
        <w:t>((</w:t>
      </w:r>
      <w:r>
        <w:rPr>
          <w:strike/>
        </w:rPr>
        <w:t xml:space="preserve">or (2)</w:t>
      </w:r>
      <w:r>
        <w:t>))</w:t>
      </w:r>
      <w:r>
        <w:rPr/>
        <w:t xml:space="preserve"> </w:t>
      </w:r>
      <w:r>
        <w:rPr>
          <w:u w:val="single"/>
        </w:rPr>
        <w:t xml:space="preserve">through (3)</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010</w:t>
      </w:r>
      <w:r>
        <w:rPr/>
        <w:t xml:space="preserve"> and 2006 c 228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"Basic necessities of life" means food, water, shelter, clothing, and medically necessary health care, including but not limited to health-related treatment or activities, hygiene, oxygen, and medication.</w:t>
      </w:r>
    </w:p>
    <w:p>
      <w:pPr>
        <w:spacing w:before="0" w:after="0" w:line="408" w:lineRule="exact"/>
        <w:ind w:left="0" w:right="0" w:firstLine="576"/>
        <w:jc w:val="left"/>
      </w:pPr>
      <w:r>
        <w:rPr/>
        <w:t xml:space="preserve">(2)(a) "Bodily injury"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high probability of death, or which causes serious permanent disfigurement, or which causes a permanent or protracted loss or impairment of the function of any bodily part or organ.</w:t>
      </w:r>
    </w:p>
    <w:p>
      <w:pPr>
        <w:spacing w:before="0" w:after="0" w:line="408" w:lineRule="exact"/>
        <w:ind w:left="0" w:right="0" w:firstLine="576"/>
        <w:jc w:val="left"/>
      </w:pPr>
      <w:r>
        <w:rPr/>
        <w:t xml:space="preserve">(3) "Child" means a person under eighteen years of age.</w:t>
      </w:r>
    </w:p>
    <w:p>
      <w:pPr>
        <w:spacing w:before="0" w:after="0" w:line="408" w:lineRule="exact"/>
        <w:ind w:left="0" w:right="0" w:firstLine="576"/>
        <w:jc w:val="left"/>
      </w:pPr>
      <w:r>
        <w:rPr/>
        <w:t xml:space="preserve">(4) "Dependent person" means a person who, because of physical or mental disability, or because of extreme advanced age, is dependent upon another person to provide the basic necessities of life. A resident of a nursing home, as defined in RCW 18.51.010, a resident of an adult family home, as defined in RCW 70.128.010, and a frail elder or vulnerable adult, as defined in RCW 74.34.020</w:t>
      </w:r>
      <w:r>
        <w:t>((</w:t>
      </w:r>
      <w:r>
        <w:rPr>
          <w:strike/>
        </w:rPr>
        <w:t xml:space="preserve">(13)</w:t>
      </w:r>
      <w:r>
        <w:t>))</w:t>
      </w:r>
      <w:r>
        <w:rPr/>
        <w:t xml:space="preserve"> </w:t>
      </w:r>
      <w:r>
        <w:rPr>
          <w:u w:val="single"/>
        </w:rPr>
        <w:t xml:space="preserve">(22)</w:t>
      </w:r>
      <w:r>
        <w:rPr/>
        <w:t xml:space="preserve">, is presumed to be a dependent person for purposes of this chapter.</w:t>
      </w:r>
    </w:p>
    <w:p>
      <w:pPr>
        <w:spacing w:before="0" w:after="0" w:line="408" w:lineRule="exact"/>
        <w:ind w:left="0" w:right="0" w:firstLine="576"/>
        <w:jc w:val="left"/>
      </w:pPr>
      <w:r>
        <w:rPr/>
        <w:t xml:space="preserve">(5) "Employed" means hired by a dependent person, another person acting on behalf of a dependent person, or by an organization or governmental entity, to provide to a dependent person any of the basic necessities of life. A person may be "employed" regardless of whether the person is paid for the services or, if paid, regardless of who pays for the person's services.</w:t>
      </w:r>
    </w:p>
    <w:p>
      <w:pPr>
        <w:spacing w:before="0" w:after="0" w:line="408" w:lineRule="exact"/>
        <w:ind w:left="0" w:right="0" w:firstLine="576"/>
        <w:jc w:val="left"/>
      </w:pPr>
      <w:r>
        <w:rPr/>
        <w:t xml:space="preserve">(6) "Parent" has its ordinary meaning and also includes a guardian and the authorized agent of a parent or guardian.</w:t>
      </w:r>
    </w:p>
    <w:p>
      <w:pPr>
        <w:spacing w:before="0" w:after="0" w:line="408" w:lineRule="exact"/>
        <w:ind w:left="0" w:right="0" w:firstLine="576"/>
        <w:jc w:val="left"/>
      </w:pPr>
      <w:r>
        <w:rPr/>
        <w:t xml:space="preserve">(7) "Abandons" means leaving a child or other dependent person without the means or ability to obtain one or more of the basic necessities of life.</w:t>
      </w:r>
    </w:p>
    <w:p>
      <w:pPr>
        <w:spacing w:before="0" w:after="0" w:line="408" w:lineRule="exact"/>
        <w:ind w:left="0" w:right="0" w:firstLine="576"/>
        <w:jc w:val="left"/>
      </w:pPr>
      <w:r>
        <w:rPr/>
        <w:t xml:space="preserve">(8) "Good samaritan" means any individual or group of individuals who: (a) Is not related to the dependent person; (b) voluntarily provides assistance or services of any type to the dependent person; (c) is not paid, given gifts, or made a beneficiary of any assets valued at five hundred dollars or more, for any reason, by the dependent person, the dependent person's family, or the dependent person's estate; and (d) does not commit or attempt to commit any other crime against the dependent person or the dependent person's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210</w:t>
      </w:r>
      <w:r>
        <w:rPr/>
        <w:t xml:space="preserve"> and 2000 c 231 s 1 are each amended to read as follows:</w:t>
      </w:r>
    </w:p>
    <w:p>
      <w:pPr>
        <w:spacing w:before="0" w:after="0" w:line="408" w:lineRule="exact"/>
        <w:ind w:left="0" w:right="0" w:firstLine="576"/>
        <w:jc w:val="left"/>
      </w:pPr>
      <w:r>
        <w:rPr/>
        <w:t xml:space="preserve">Every school district board of directors may, in accordance with chapters 41.56 and 41.59 RCW, establish an attendance incentive program for all certificated and classified employees in the following manner, including covering persons who were employed during the 1982</w:t>
      </w:r>
      <w:r>
        <w:rPr/>
        <w:noBreakHyphen/>
      </w:r>
      <w:r>
        <w:rPr/>
        <w:t xml:space="preserve">'83 school year:</w:t>
      </w:r>
    </w:p>
    <w:p>
      <w:pPr>
        <w:spacing w:before="0" w:after="0" w:line="408" w:lineRule="exact"/>
        <w:ind w:left="0" w:right="0" w:firstLine="576"/>
        <w:jc w:val="left"/>
      </w:pPr>
      <w:r>
        <w:rPr/>
        <w:t xml:space="preserve">(1) In January of the year following any year in which a minimum of sixty days of leave for illness or injury is accrued, and each January thereafter, any eligible employee may exercise an option to receive remuneration for unused leave for illness or injury accumulated in the previous year at a rate equal to one day's monetary compensation of the employee for each four full days of accrued leave for illness or injury in excess of sixty days. Leave for illness or injury for which compensation has been received shall be deducted from accrued leave for illness or injury at the rate of four days for every one day's monetary compensation. No employee may receive compensation under this section for any portion of leave for illness or injury accumulated at a rate in excess of one day per month.</w:t>
      </w:r>
    </w:p>
    <w:p>
      <w:pPr>
        <w:spacing w:before="0" w:after="0" w:line="408" w:lineRule="exact"/>
        <w:ind w:left="0" w:right="0" w:firstLine="576"/>
        <w:jc w:val="left"/>
      </w:pPr>
      <w:r>
        <w:rPr/>
        <w:t xml:space="preserve">(2) Except as provided in RCW 28A.400.212, at the time of separation from school district employment an eligible employee or the employee's estate shall receive remuneration at a rate equal to one day's current monetary compensation of the employee for each four full days accrued leave for illness or injury. For purposes of this subsection, "eligible employee" means (a) employees who separate from employment due to retirement or death; (b) employees who separate from employment and who are at least age fifty-five and have at least ten years of service under the teachers' retirement system plan 3 as defined in RCW 41.32.010</w:t>
      </w:r>
      <w:r>
        <w:t>((</w:t>
      </w:r>
      <w:r>
        <w:rPr>
          <w:strike/>
        </w:rPr>
        <w:t xml:space="preserve">(40)</w:t>
      </w:r>
      <w:r>
        <w:t>))</w:t>
      </w:r>
      <w:r>
        <w:rPr/>
        <w:t xml:space="preserve"> </w:t>
      </w:r>
      <w:r>
        <w:rPr>
          <w:u w:val="single"/>
        </w:rPr>
        <w:t xml:space="preserve">(33)</w:t>
      </w:r>
      <w:r>
        <w:rPr/>
        <w:t xml:space="preserve">, or under the Washington school employees' retirement system plan 3 as defined in RCW 41.35.010</w:t>
      </w:r>
      <w:r>
        <w:t>((</w:t>
      </w:r>
      <w:r>
        <w:rPr>
          <w:strike/>
        </w:rPr>
        <w:t xml:space="preserve">(31)</w:t>
      </w:r>
      <w:r>
        <w:t>))</w:t>
      </w:r>
      <w:r>
        <w:rPr/>
        <w:t xml:space="preserve"> </w:t>
      </w:r>
      <w:r>
        <w:rPr>
          <w:u w:val="single"/>
        </w:rPr>
        <w:t xml:space="preserve">(25)</w:t>
      </w:r>
      <w:r>
        <w:rPr/>
        <w:t xml:space="preserve">; or (c) employees who separate from employment and who are at least age fifty-five and have at least fifteen years of service under the teachers' retirement system plan 2 as defined in RCW 41.32.010</w:t>
      </w:r>
      <w:r>
        <w:t>((</w:t>
      </w:r>
      <w:r>
        <w:rPr>
          <w:strike/>
        </w:rPr>
        <w:t xml:space="preserve">(39)</w:t>
      </w:r>
      <w:r>
        <w:t>))</w:t>
      </w:r>
      <w:r>
        <w:rPr/>
        <w:t xml:space="preserve"> </w:t>
      </w:r>
      <w:r>
        <w:rPr>
          <w:u w:val="single"/>
        </w:rPr>
        <w:t xml:space="preserve">(32)</w:t>
      </w:r>
      <w:r>
        <w:rPr/>
        <w:t xml:space="preserve">, under the Washington school employees' retirement system plan 2 as defined in RCW 41.35.010</w:t>
      </w:r>
      <w:r>
        <w:t>((</w:t>
      </w:r>
      <w:r>
        <w:rPr>
          <w:strike/>
        </w:rPr>
        <w:t xml:space="preserve">(30)</w:t>
      </w:r>
      <w:r>
        <w:t>))</w:t>
      </w:r>
      <w:r>
        <w:rPr/>
        <w:t xml:space="preserve"> </w:t>
      </w:r>
      <w:r>
        <w:rPr>
          <w:u w:val="single"/>
        </w:rPr>
        <w:t xml:space="preserve">(24)</w:t>
      </w:r>
      <w:r>
        <w:rPr/>
        <w:t xml:space="preserve">, or under the public employees' retirement system plan 2 as defined in RCW 41.40.010</w:t>
      </w:r>
      <w:r>
        <w:t>((</w:t>
      </w:r>
      <w:r>
        <w:rPr>
          <w:strike/>
        </w:rPr>
        <w:t xml:space="preserve">(34)</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 lieu of remuneration for unused leave for illness or injury as provided in subsections (1) and (2) of this section, a school district board of directors may, with equivalent funds, provide eligible employees a benefit plan that provides reimbursement for medical expenses. Any benefit plan adopted after July 28, 1991, shall require, as a condition of participation under the plan, that the employee sign an agreement with the district to hold the district harmless should the United States government find that the district or the employee is in debt to the United States as a result of the employee not paying income taxes due on the equivalent funds placed into the plan, or as a result of the district not withholding or deducting any tax, assessment, or other payment on such funds as required under federal law.</w:t>
      </w:r>
    </w:p>
    <w:p>
      <w:pPr>
        <w:spacing w:before="0" w:after="0" w:line="408" w:lineRule="exact"/>
        <w:ind w:left="0" w:right="0" w:firstLine="576"/>
        <w:jc w:val="left"/>
      </w:pPr>
      <w:r>
        <w:rPr/>
        <w:t xml:space="preserve">Moneys or benefits received under this section shall not be included for the purposes of computing a retirement allowance under any public retirement system in this state.</w:t>
      </w:r>
    </w:p>
    <w:p>
      <w:pPr>
        <w:spacing w:before="0" w:after="0" w:line="408" w:lineRule="exact"/>
        <w:ind w:left="0" w:right="0" w:firstLine="576"/>
        <w:jc w:val="left"/>
      </w:pPr>
      <w:r>
        <w:rPr/>
        <w:t xml:space="preserve">The superintendent of public instruction in its administration hereof, shall promulgate uniform rules and regulations to carry out the purposes of this section.</w:t>
      </w:r>
    </w:p>
    <w:p>
      <w:pPr>
        <w:spacing w:before="0" w:after="0" w:line="408" w:lineRule="exact"/>
        <w:ind w:left="0" w:right="0" w:firstLine="576"/>
        <w:jc w:val="left"/>
      </w:pPr>
      <w:r>
        <w:rPr/>
        <w:t xml:space="preserve">Should the legislature revoke any benefits granted under this section, no affected employee shall be entitled thereafter to receive such benefits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175</w:t>
      </w:r>
      <w:r>
        <w:rPr/>
        <w:t xml:space="preserve"> and 2011 c 159 s 2 are each amended to read as follows:</w:t>
      </w:r>
    </w:p>
    <w:p>
      <w:pPr>
        <w:spacing w:before="0" w:after="0" w:line="408" w:lineRule="exact"/>
        <w:ind w:left="0" w:right="0" w:firstLine="576"/>
        <w:jc w:val="left"/>
      </w:pPr>
      <w:r>
        <w:rPr/>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025</w:t>
      </w:r>
      <w:r>
        <w:rPr/>
        <w:t xml:space="preserve"> and 1995 c 301 s 2 are each amended to read as follows:</w:t>
      </w:r>
    </w:p>
    <w:p>
      <w:pPr>
        <w:spacing w:before="0" w:after="0" w:line="408" w:lineRule="exact"/>
        <w:ind w:left="0" w:right="0" w:firstLine="576"/>
        <w:jc w:val="left"/>
      </w:pPr>
      <w:r>
        <w:rPr/>
        <w:t xml:space="preserve">The state auditor may appoint deputies and assistant directors as necessary to carry out the duties of the office of the state auditor. These individuals serve at the pleasure of the state auditor and are exempt from the provisions of chapter 41.06 RCW as stated in RCW 41.06.070(1)</w:t>
      </w:r>
      <w:r>
        <w:t>((</w:t>
      </w:r>
      <w:r>
        <w:rPr>
          <w:strike/>
        </w:rPr>
        <w:t xml:space="preserve">(y)</w:t>
      </w:r>
      <w:r>
        <w:t>))</w:t>
      </w:r>
      <w:r>
        <w:rPr/>
        <w:t xml:space="preserve"> </w:t>
      </w:r>
      <w:r>
        <w:rPr>
          <w:u w:val="single"/>
        </w:rPr>
        <w:t xml:space="preserve">(v)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is at least forty years old.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265</w:t>
      </w:r>
      <w:r>
        <w:rPr/>
        <w:t xml:space="preserve"> and 2010 c 161 s 624 are each amended to read as follows:</w:t>
      </w:r>
    </w:p>
    <w:p>
      <w:pPr>
        <w:spacing w:before="0" w:after="0" w:line="408" w:lineRule="exact"/>
        <w:ind w:left="0" w:right="0" w:firstLine="576"/>
        <w:jc w:val="left"/>
      </w:pPr>
      <w:r>
        <w:rPr/>
        <w:t xml:space="preserve">(1) A registered owner who has a valid military affiliate radio system station license may apply to the department for special license plates for use on only one motor vehicle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a copy of the current official military affiliate radio system station license authorized by the department of defense and issued by the United States army, air force, navy, or marine corps;</w:t>
      </w:r>
    </w:p>
    <w:p>
      <w:pPr>
        <w:spacing w:before="0" w:after="0" w:line="408" w:lineRule="exact"/>
        <w:ind w:left="0" w:right="0" w:firstLine="576"/>
        <w:jc w:val="left"/>
      </w:pPr>
      <w:r>
        <w:rPr/>
        <w:t xml:space="preserve">(c) Be recorded as the registered owner of the motor vehicle on which the military affiliate radio system license plates will be displayed; and</w:t>
      </w:r>
    </w:p>
    <w:p>
      <w:pPr>
        <w:spacing w:before="0" w:after="0" w:line="408" w:lineRule="exact"/>
        <w:ind w:left="0" w:right="0" w:firstLine="576"/>
        <w:jc w:val="left"/>
      </w:pPr>
      <w:r>
        <w:rPr/>
        <w:t xml:space="preserve">(d) Pay the military affiliate radio system license plate fee required under RCW 46.17.220</w:t>
      </w:r>
      <w:r>
        <w:t>((</w:t>
      </w:r>
      <w:r>
        <w:rPr>
          <w:strike/>
        </w:rPr>
        <w:t xml:space="preserve">(1)(l)</w:t>
      </w:r>
      <w:r>
        <w:t>))</w:t>
      </w:r>
      <w:r>
        <w:rPr/>
        <w:t xml:space="preserve"> </w:t>
      </w:r>
      <w:r>
        <w:rPr>
          <w:u w:val="single"/>
        </w:rPr>
        <w:t xml:space="preserve">(14)</w:t>
      </w:r>
      <w:r>
        <w:rPr/>
        <w:t xml:space="preserve">, in addition to any other fees or taxes required by law.</w:t>
      </w:r>
    </w:p>
    <w:p>
      <w:pPr>
        <w:spacing w:before="0" w:after="0" w:line="408" w:lineRule="exact"/>
        <w:ind w:left="0" w:right="0" w:firstLine="576"/>
        <w:jc w:val="left"/>
      </w:pPr>
      <w:r>
        <w:rPr/>
        <w:t xml:space="preserve">(2) A person who has been issued military affiliate radio system license plates as provided in this section must:</w:t>
      </w:r>
    </w:p>
    <w:p>
      <w:pPr>
        <w:spacing w:before="0" w:after="0" w:line="408" w:lineRule="exact"/>
        <w:ind w:left="0" w:right="0" w:firstLine="576"/>
        <w:jc w:val="left"/>
      </w:pPr>
      <w:r>
        <w:rPr/>
        <w:t xml:space="preserve">(a) Notify the department if the military affiliate radio system station license assigned is canceled or expires; and</w:t>
      </w:r>
    </w:p>
    <w:p>
      <w:pPr>
        <w:spacing w:before="0" w:after="0" w:line="408" w:lineRule="exact"/>
        <w:ind w:left="0" w:right="0" w:firstLine="576"/>
        <w:jc w:val="left"/>
      </w:pPr>
      <w:r>
        <w:rPr/>
        <w:t xml:space="preserve">(b) Provide a copy of the renewed military affiliate radio system station license to the department when it is renewed.</w:t>
      </w:r>
    </w:p>
    <w:p>
      <w:pPr>
        <w:spacing w:before="0" w:after="0" w:line="408" w:lineRule="exact"/>
        <w:ind w:left="0" w:right="0" w:firstLine="576"/>
        <w:jc w:val="left"/>
      </w:pPr>
      <w:r>
        <w:rPr/>
        <w:t xml:space="preserve">(3) Military affiliate radio system license plates:</w:t>
      </w:r>
    </w:p>
    <w:p>
      <w:pPr>
        <w:spacing w:before="0" w:after="0" w:line="408" w:lineRule="exact"/>
        <w:ind w:left="0" w:right="0" w:firstLine="576"/>
        <w:jc w:val="left"/>
      </w:pPr>
      <w:r>
        <w:rPr/>
        <w:t xml:space="preserve">(a) Are not available for motorcycles; and</w:t>
      </w:r>
    </w:p>
    <w:p>
      <w:pPr>
        <w:spacing w:before="0" w:after="0" w:line="408" w:lineRule="exact"/>
        <w:ind w:left="0" w:right="0" w:firstLine="576"/>
        <w:jc w:val="left"/>
      </w:pPr>
      <w:r>
        <w:rPr/>
        <w:t xml:space="preserve">(b) May be transferred from one motor vehicle to another motor vehicle owned by the military affiliate radio system operator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2011 c 171 s 72 are each amended to read as follows:</w:t>
      </w:r>
    </w:p>
    <w:p>
      <w:pPr>
        <w:spacing w:before="0" w:after="0" w:line="408" w:lineRule="exact"/>
        <w:ind w:left="0" w:right="0" w:firstLine="576"/>
        <w:jc w:val="left"/>
      </w:pPr>
      <w:r>
        <w:rPr/>
        <w:t xml:space="preserve">(1) A registered owner who uses a passenger motor vehicle for commuter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w:t>
      </w:r>
      <w:r>
        <w:t>((</w:t>
      </w:r>
      <w:r>
        <w:rPr>
          <w:strike/>
        </w:rPr>
        <w:t xml:space="preserve">(1)(n)</w:t>
      </w:r>
      <w:r>
        <w:t>))</w:t>
      </w:r>
      <w:r>
        <w:rPr/>
        <w:t xml:space="preserve"> </w:t>
      </w:r>
      <w:r>
        <w:rPr>
          <w:u w:val="single"/>
        </w:rPr>
        <w:t xml:space="preserve">(18)</w:t>
      </w:r>
      <w:r>
        <w:rPr/>
        <w:t xml:space="preserve">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290</w:t>
      </w:r>
      <w:r>
        <w:rPr/>
        <w:t xml:space="preserve"> and 2011 c 332 s 9 are each amended to read as follows:</w:t>
      </w:r>
    </w:p>
    <w:p>
      <w:pPr>
        <w:spacing w:before="0" w:after="0" w:line="408" w:lineRule="exact"/>
        <w:ind w:left="0" w:right="0" w:firstLine="576"/>
        <w:jc w:val="left"/>
      </w:pPr>
      <w:r>
        <w:rPr/>
        <w:t xml:space="preserve">A registered owner may apply to the department, county auditor or other agent, or subagent appointed by the director for a square dancer license plate. The registered owner shall pay the special license plate fee required under RCW 46.17.220</w:t>
      </w:r>
      <w:r>
        <w:t>((</w:t>
      </w:r>
      <w:r>
        <w:rPr>
          <w:strike/>
        </w:rPr>
        <w:t xml:space="preserve">(1)(q)</w:t>
      </w:r>
      <w:r>
        <w:t>))</w:t>
      </w:r>
      <w:r>
        <w:rPr/>
        <w:t xml:space="preserve"> </w:t>
      </w:r>
      <w:r>
        <w:rPr>
          <w:u w:val="single"/>
        </w:rPr>
        <w:t xml:space="preserve">(27)</w:t>
      </w:r>
      <w:r>
        <w:rPr/>
        <w:t xml:space="preserve">, in addition to any other fee or tax required by law. The square dancer license plate may be issued in lieu of standard issue or personalized license plates for motor vehicles required to display one or two license plates, but may not be issued for vehicles registered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389</w:t>
      </w:r>
      <w:r>
        <w:rPr/>
        <w:t xml:space="preserve"> and 2011 c 159 s 3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223</w:t>
      </w:r>
      <w:r>
        <w:rPr/>
        <w:t xml:space="preserve"> and 2011 c 159 s 4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323</w:t>
      </w:r>
      <w:r>
        <w:rPr/>
        <w:t xml:space="preserve"> and 2011 c 159 s 5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274</w:t>
      </w:r>
      <w:r>
        <w:rPr/>
        <w:t xml:space="preserve"> and 2011 c 159 s 6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and a declarant as defined in RCW 64.34.020</w:t>
      </w:r>
      <w:r>
        <w:t>((</w:t>
      </w:r>
      <w:r>
        <w:rPr>
          <w:strike/>
        </w:rPr>
        <w:t xml:space="preserve">(13)</w:t>
      </w:r>
      <w:r>
        <w:t>))</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or a unit in a multiunit residential structure in which title to each individual unit is transferred to the owner under a condominium or cooperative system, and shall include common elements as defined in RCW 64.34.020</w:t>
      </w:r>
      <w:r>
        <w:t>((</w:t>
      </w:r>
      <w:r>
        <w:rPr>
          <w:strike/>
        </w:rPr>
        <w:t xml:space="preserve">(6)</w:t>
      </w:r>
      <w:r>
        <w:t>))</w:t>
      </w:r>
      <w:r>
        <w:rPr/>
        <w:t xml:space="preserve"> and common areas as defined in RCW 64.38.010(4).</w:t>
      </w:r>
    </w:p>
    <w:p>
      <w:pPr>
        <w:spacing w:before="0" w:after="0" w:line="408" w:lineRule="exact"/>
        <w:ind w:left="0" w:right="0" w:firstLine="576"/>
        <w:jc w:val="left"/>
      </w:pPr>
      <w:r>
        <w:rPr/>
        <w:t xml:space="preserve">(7) "Serve" or "service" means personal service or delivery by certified mail to the last known address of the addressee.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414</w:t>
      </w:r>
      <w:r>
        <w:rPr/>
        <w:t xml:space="preserve"> and 1986 c 124 s 10 are each amended to read as follows:</w:t>
      </w:r>
    </w:p>
    <w:p>
      <w:pPr>
        <w:spacing w:before="0" w:after="0" w:line="408" w:lineRule="exact"/>
        <w:ind w:left="0" w:right="0" w:firstLine="576"/>
        <w:jc w:val="left"/>
      </w:pPr>
      <w:r>
        <w:rPr/>
        <w:t xml:space="preserve">The parent or legal guardian of any minor to whom a controlled substance, as defined in RCW 69.50.101, is sold or transferred, shall have a cause of action against the person who sold or transferred the controlled substance for all damages to the minor or his or her parent or legal guardian caused by such sale or transfer. Damages shall include: (a) Actual damages, including the cost for treatment or rehabilitation of the minor child's drug dependency, (b) forfeiture to the parent or legal guardian of the cash value of any proceeds received from such sale or transfer of a controlled substance, and (c) reasonable attorney fees.</w:t>
      </w:r>
    </w:p>
    <w:p>
      <w:pPr>
        <w:spacing w:before="0" w:after="0" w:line="408" w:lineRule="exact"/>
        <w:ind w:left="0" w:right="0" w:firstLine="576"/>
        <w:jc w:val="left"/>
      </w:pPr>
      <w:r>
        <w:rPr/>
        <w:t xml:space="preserve">This section shall not apply to a practitioner, as defined in RCW 69.50.101</w:t>
      </w:r>
      <w:r>
        <w:t>((</w:t>
      </w:r>
      <w:r>
        <w:rPr>
          <w:strike/>
        </w:rPr>
        <w:t xml:space="preserve">(t)</w:t>
      </w:r>
      <w:r>
        <w:t>))</w:t>
      </w:r>
      <w:r>
        <w:rPr/>
        <w:t xml:space="preserve">, who sells or transfers a controlled substance to a minor pursuant to a valid prescription or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030</w:t>
      </w:r>
      <w:r>
        <w:rPr/>
        <w:t xml:space="preserve"> and 1983 1st ex.s. c 4 s 5 are each amended to read as follows:</w:t>
      </w:r>
    </w:p>
    <w:p>
      <w:pPr>
        <w:spacing w:before="0" w:after="0" w:line="408" w:lineRule="exact"/>
        <w:ind w:left="0" w:right="0" w:firstLine="576"/>
        <w:jc w:val="left"/>
      </w:pPr>
      <w:r>
        <w:rPr/>
        <w:t xml:space="preserve">(1) It is unlawful for any person to manufacture, distribute, or possess with intent to distribute, an imitation controlled substance. Any person who violates this subsection shall, upon conviction, be guilty of a class C felony.</w:t>
      </w:r>
    </w:p>
    <w:p>
      <w:pPr>
        <w:spacing w:before="0" w:after="0" w:line="408" w:lineRule="exact"/>
        <w:ind w:left="0" w:right="0" w:firstLine="576"/>
        <w:jc w:val="left"/>
      </w:pPr>
      <w:r>
        <w:rPr/>
        <w:t xml:space="preserve">(2) Any person eighteen years of age or over who violates subsection (1) of this section by distributing an imitation controlled substance to a person under eighteen years of age is guilty of a class B felony.</w:t>
      </w:r>
    </w:p>
    <w:p>
      <w:pPr>
        <w:spacing w:before="0" w:after="0" w:line="408" w:lineRule="exact"/>
        <w:ind w:left="0" w:right="0" w:firstLine="576"/>
        <w:jc w:val="left"/>
      </w:pPr>
      <w:r>
        <w:rPr/>
        <w:t xml:space="preserve">(3) It is unlawful for any person to cause to be placed in any newspaper, magazine, handbill, or other publication, or to post or distribute in any public place, any advertisement or solicitation offering for sale imitation controlled substances. Any person who violates this subsection is guilty of a class C felony.</w:t>
      </w:r>
    </w:p>
    <w:p>
      <w:pPr>
        <w:spacing w:before="0" w:after="0" w:line="408" w:lineRule="exact"/>
        <w:ind w:left="0" w:right="0" w:firstLine="576"/>
        <w:jc w:val="left"/>
      </w:pPr>
      <w:r>
        <w:rPr/>
        <w:t xml:space="preserve">(4) No civil or criminal liability shall be imposed by virtue of this chapter on any person registered under the Uniform Controlled Substances Act pursuant to RCW 69.50.301 or 69.50.303 who manufactures, distributes, or possesses an imitation controlled substance for use as a placebo or other use by a registered practitioner, as defined in RCW 69.50.101</w:t>
      </w:r>
      <w:r>
        <w:t>((</w:t>
      </w:r>
      <w:r>
        <w:rPr>
          <w:strike/>
        </w:rPr>
        <w:t xml:space="preserve">(t)</w:t>
      </w:r>
      <w:r>
        <w:t>))</w:t>
      </w:r>
      <w:r>
        <w:rPr/>
        <w:t xml:space="preserve">, in the course of professional practice or research.</w:t>
      </w:r>
    </w:p>
    <w:p>
      <w:pPr>
        <w:spacing w:before="0" w:after="0" w:line="408" w:lineRule="exact"/>
        <w:ind w:left="0" w:right="0" w:firstLine="576"/>
        <w:jc w:val="left"/>
      </w:pPr>
      <w:r>
        <w:rPr/>
        <w:t xml:space="preserve">(5) No prosecution under this chapter shall be dismissed solely by reason of the fact that the dosage units were contained in a bottle or other container with a label accurately describing the ingredients of the imitation controlled substance dosage units. The good faith of the defendant shall be an issue of fact for the trier of fact.</w:t>
      </w:r>
    </w:p>
    <w:p/>
    <w:p>
      <w:pPr>
        <w:jc w:val="center"/>
      </w:pPr>
      <w:r>
        <w:rPr>
          <w:b/>
        </w:rPr>
        <w:t>--- END ---</w:t>
      </w:r>
    </w:p>
    <w:sectPr>
      <w:pgNumType w:start="1"/>
      <w:footerReference xmlns:r="http://schemas.openxmlformats.org/officeDocument/2006/relationships" r:id="R440de6e68fc249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1684caf1744c5" /><Relationship Type="http://schemas.openxmlformats.org/officeDocument/2006/relationships/footer" Target="/word/footer1.xml" Id="R440de6e68fc24932" /></Relationships>
</file>