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172414e7846cc" /></Relationships>
</file>

<file path=word/document.xml><?xml version="1.0" encoding="utf-8"?>
<w:document xmlns:w="http://schemas.openxmlformats.org/wordprocessingml/2006/main">
  <w:body>
    <w:p>
      <w:r>
        <w:t>H-3696.1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Davis, Kilduff, Leavitt, Sells, Harris, Macri, Wylie, Doglio, Pollet, and Appleton</w:t>
      </w:r>
    </w:p>
    <w:p/>
    <w:p>
      <w:r>
        <w:rPr>
          <w:t xml:space="preserve">Prefiled 01/09/20.</w:t>
        </w:rPr>
      </w:r>
      <w:r>
        <w:rPr>
          <w:t xml:space="preserve">Read first time 01/13/20.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access to medications for people with opioid use disorder; and amending RCW 18.64.450.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450</w:t>
      </w:r>
      <w:r>
        <w:rPr/>
        <w:t xml:space="preserve"> and 2013 c 19 s 26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for a health care entity to purchase, administer, dispense, and deliver legend drugs, the health care entity must be licensed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order for a health care entity to purchase, administer, dispense, and deliver controlled substances, the health care entity must annually obtain a license from the department in accordance with the commission's rules.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receipt, administration, dispensing, and delivery of legend drugs or controlled substances by a health care entity must be performed under the supervision or at the direction of a pharmacist.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</w:t>
      </w:r>
      <w:r>
        <w:rPr>
          <w:u w:val="single"/>
        </w:rPr>
        <w:t xml:space="preserve">Except as provided in subsection (5) of this section, a</w:t>
      </w:r>
      <w:r>
        <w:rPr/>
        <w:t xml:space="preserve"> health care entity may only administer, dispense, or deliver </w:t>
      </w:r>
      <w:r>
        <w:rPr>
          <w:u w:val="single"/>
        </w:rPr>
        <w:t xml:space="preserve">up to a seventy-two hour supply of</w:t>
      </w:r>
      <w:r>
        <w:rPr/>
        <w:t xml:space="preserve"> legend drugs and controlled substances to patients who receive care within the health care entity and in compliance with rules of the commission. </w:t>
      </w:r>
      <w:r>
        <w:t>((</w:t>
      </w:r>
      <w:r>
        <w:rPr>
          <w:strike/>
        </w:rPr>
        <w:t xml:space="preserve">Nothing in this subsection shall prohibit a practitioner, in carrying out his or her licensed responsibilities within a health care entity, from dispensing or delivering to a patient of the health care entity drugs for that patient's personal use in an amount not to exceed seventy-two hours of usage.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A health care entity may only administer, dispense, or deliver up to a two-week supply of legend drugs and controlled substances to patients who receive evidence-based opioid use disorder treatment at the health care entity and in compliance with rules of the commission.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165c5e4de4442c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f74d08624567" /><Relationship Type="http://schemas.openxmlformats.org/officeDocument/2006/relationships/footer" Target="/word/footer1.xml" Id="R6165c5e4de4442c9" /></Relationships>
</file>