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6999d54684b55" /></Relationships>
</file>

<file path=word/document.xml><?xml version="1.0" encoding="utf-8"?>
<w:document xmlns:w="http://schemas.openxmlformats.org/wordprocessingml/2006/main">
  <w:body>
    <w:p>
      <w:r>
        <w:t>H-3669.1</w:t>
      </w:r>
    </w:p>
    <w:p>
      <w:pPr>
        <w:jc w:val="center"/>
      </w:pPr>
      <w:r>
        <w:t>_______________________________________________</w:t>
      </w:r>
    </w:p>
    <w:p/>
    <w:p>
      <w:pPr>
        <w:jc w:val="center"/>
      </w:pPr>
      <w:r>
        <w:rPr>
          <w:b/>
        </w:rPr>
        <w:t>HOUSE BILL 2345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Wylie, Cody, Goodman, Tharinger, and Appleton</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18.390.060, and 18.390.070; and adding a new section to chapter 18.390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w:t>
      </w:r>
      <w:r>
        <w:t>((</w:t>
      </w:r>
      <w:r>
        <w:rPr>
          <w:strike/>
        </w:rPr>
        <w:t xml:space="preserve">Prior to entering into a residency agreement with, or accepting an entrance fee from, any prospective resident, a</w:t>
      </w:r>
      <w:r>
        <w:t>))</w:t>
      </w:r>
      <w:r>
        <w:rPr/>
        <w:t xml:space="preserve"> </w:t>
      </w:r>
      <w:r>
        <w:rPr>
          <w:u w:val="single"/>
        </w:rPr>
        <w:t xml:space="preserve">A</w:t>
      </w:r>
      <w:r>
        <w:rPr/>
        <w:t xml:space="preserve"> continuing care retirement community must deliver </w:t>
      </w:r>
      <w:r>
        <w:t>((</w:t>
      </w:r>
      <w:r>
        <w:rPr>
          <w:strike/>
        </w:rPr>
        <w:t xml:space="preserve">to the prospective resident</w:t>
      </w:r>
      <w:r>
        <w:t>))</w:t>
      </w:r>
      <w:r>
        <w:rPr/>
        <w:t xml:space="preserve"> a copy of the disclosure statement most recently submitted to the department </w:t>
      </w:r>
      <w:r>
        <w:rPr>
          <w:u w:val="single"/>
        </w:rPr>
        <w:t xml:space="preserve">to:</w:t>
      </w:r>
    </w:p>
    <w:p>
      <w:pPr>
        <w:spacing w:before="0" w:after="0" w:line="408" w:lineRule="exact"/>
        <w:ind w:left="0" w:right="0" w:firstLine="576"/>
        <w:jc w:val="left"/>
      </w:pPr>
      <w:r>
        <w:rPr>
          <w:u w:val="single"/>
        </w:rPr>
        <w:t xml:space="preserve">(a) A prospective resident prior to entering into a residency agreement, or accepting an entrance fee from the prospective resident; and</w:t>
      </w:r>
    </w:p>
    <w:p>
      <w:pPr>
        <w:spacing w:before="0" w:after="0" w:line="408" w:lineRule="exact"/>
        <w:ind w:left="0" w:right="0" w:firstLine="576"/>
        <w:jc w:val="left"/>
      </w:pPr>
      <w:r>
        <w:rPr>
          <w:u w:val="single"/>
        </w:rPr>
        <w:t xml:space="preserve">(b) Each existing resident within thirty days of submission to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 and</w:t>
      </w:r>
    </w:p>
    <w:p>
      <w:pPr>
        <w:spacing w:before="0" w:after="0" w:line="408" w:lineRule="exact"/>
        <w:ind w:left="0" w:right="0" w:firstLine="576"/>
        <w:jc w:val="left"/>
      </w:pPr>
      <w:r>
        <w:rPr>
          <w:u w:val="single"/>
        </w:rPr>
        <w:t xml:space="preserve">(g)(i) Except as provided in (g)(ii) of this subsection, for any residency agreement entered into after December 31, 2020, that provides for refundable entrance fees, the assurance that, once five years have passed from the issuance of a certificate of occupancy to a continuing care retirement community, the continuing care retirement community must pay any refunds due to a resident no later than the earlier of:</w:t>
      </w:r>
    </w:p>
    <w:p>
      <w:pPr>
        <w:spacing w:before="0" w:after="0" w:line="408" w:lineRule="exact"/>
        <w:ind w:left="0" w:right="0" w:firstLine="576"/>
        <w:jc w:val="left"/>
      </w:pPr>
      <w:r>
        <w:rPr>
          <w:u w:val="single"/>
        </w:rPr>
        <w:t xml:space="preserve">(A) The thirtieth day after the resident's unit is reoccupied and the resident is no longer living in the continuing care retirement community; or</w:t>
      </w:r>
    </w:p>
    <w:p>
      <w:pPr>
        <w:spacing w:before="0" w:after="0" w:line="408" w:lineRule="exact"/>
        <w:ind w:left="0" w:right="0" w:firstLine="576"/>
        <w:jc w:val="left"/>
      </w:pPr>
      <w:r>
        <w:rPr>
          <w:u w:val="single"/>
        </w:rPr>
        <w:t xml:space="preserve">(B) Two years following the resident's departure or death.</w:t>
      </w:r>
    </w:p>
    <w:p>
      <w:pPr>
        <w:spacing w:before="0" w:after="0" w:line="408" w:lineRule="exact"/>
        <w:ind w:left="0" w:right="0" w:firstLine="576"/>
        <w:jc w:val="left"/>
      </w:pPr>
      <w:r>
        <w:rPr>
          <w:u w:val="single"/>
        </w:rPr>
        <w:t xml:space="preserve">(ii) If sixty days prior to the date on which a refund payment is due under (g)(i) of this subsection the occupancy rate of independent living units within the community is below ninety percent, the date on which a refund is due under (g)(i) of this subsection may be extended until sixty days after the first month in which the occupancy rate is ninety percent or more</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Beginning July 1, 2021, if a continuing care retirement community has a council comprised of residents and selected by residents that is formed for the purpose of communicating between the residents and the management of the continuing care retirement community on matters of financial interest to residents, the continuing care retirement community must make any full actuarial report that the continuing care retirement community has had prepared in the previous three years available to the members of that council.</w:t>
      </w:r>
    </w:p>
    <w:p/>
    <w:p>
      <w:pPr>
        <w:jc w:val="center"/>
      </w:pPr>
      <w:r>
        <w:rPr>
          <w:b/>
        </w:rPr>
        <w:t>--- END ---</w:t>
      </w:r>
    </w:p>
    <w:sectPr>
      <w:pgNumType w:start="1"/>
      <w:footerReference xmlns:r="http://schemas.openxmlformats.org/officeDocument/2006/relationships" r:id="Rc76ba62e4e1b41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1571526e84ee9" /><Relationship Type="http://schemas.openxmlformats.org/officeDocument/2006/relationships/footer" Target="/word/footer1.xml" Id="Rc76ba62e4e1b415d" /></Relationships>
</file>