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ee8a6d8f64031" /></Relationships>
</file>

<file path=word/document.xml><?xml version="1.0" encoding="utf-8"?>
<w:document xmlns:w="http://schemas.openxmlformats.org/wordprocessingml/2006/main">
  <w:body>
    <w:p>
      <w:r>
        <w:t>H-3428.1</w:t>
      </w:r>
    </w:p>
    <w:p>
      <w:pPr>
        <w:jc w:val="center"/>
      </w:pPr>
      <w:r>
        <w:t>_______________________________________________</w:t>
      </w:r>
    </w:p>
    <w:p/>
    <w:p>
      <w:pPr>
        <w:jc w:val="center"/>
      </w:pPr>
      <w:r>
        <w:rPr>
          <w:b/>
        </w:rPr>
        <w:t>HOUSE BILL 2402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Gregerson, and Wylie</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legislative operations by repealing and amending selected statutory committees; amending RCW 28A.175.075, 28A.657.100, 28B.15.067, 43.15.020, 43.216.572, 43.216.574, 44.04.325, 44.68.010, 44.68.040, 44.68.050, 44.68.060, 44.68.065, 44.68.085, 44.68.090, 44.68.100, and 44.68.105; repealing RCW 28A.657.130, 28B.95.170, 44.55.010, 44.55.020, 44.55.030, 44.55.040, 44.55.050, 44.55.060, 44.68.020, and 44.68.035;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 OF SELECTED STATUTORY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657</w:t>
      </w:r>
      <w:r>
        <w:rPr/>
        <w:t xml:space="preserve">.</w:t>
      </w:r>
      <w:r>
        <w:t xml:space="preserve">130</w:t>
      </w:r>
      <w:r>
        <w:rPr/>
        <w:t xml:space="preserve"> (Education accountability system oversight committee</w:t>
      </w:r>
      <w:r>
        <w:rPr>
          <w:rFonts w:ascii="Times New Roman" w:hAnsi="Times New Roman"/>
        </w:rPr>
        <w:t xml:space="preserve">—</w:t>
      </w:r>
      <w:r>
        <w:rPr/>
        <w:t xml:space="preserve">Membership</w:t>
      </w:r>
      <w:r>
        <w:rPr>
          <w:rFonts w:ascii="Times New Roman" w:hAnsi="Times New Roman"/>
        </w:rPr>
        <w:t xml:space="preserve">—</w:t>
      </w:r>
      <w:r>
        <w:rPr/>
        <w:t xml:space="preserve">Duties</w:t>
      </w:r>
      <w:r>
        <w:rPr>
          <w:rFonts w:ascii="Times New Roman" w:hAnsi="Times New Roman"/>
        </w:rPr>
        <w:t xml:space="preserve">—</w:t>
      </w:r>
      <w:r>
        <w:rPr/>
        <w:t xml:space="preserve">Reports) and 2013 c 159 s 13;</w:t>
      </w:r>
    </w:p>
    <w:p>
      <w:pPr>
        <w:spacing w:before="0" w:after="0" w:line="408" w:lineRule="exact"/>
        <w:ind w:left="0" w:right="0" w:firstLine="576"/>
        <w:jc w:val="left"/>
      </w:pPr>
      <w:r>
        <w:t>(2)</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w:t>
      </w:r>
    </w:p>
    <w:p>
      <w:pPr>
        <w:spacing w:before="0" w:after="0" w:line="408" w:lineRule="exact"/>
        <w:ind w:left="0" w:right="0" w:firstLine="576"/>
        <w:jc w:val="left"/>
      </w:pPr>
      <w:r>
        <w:t>(3)</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(4)</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(5)</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(6)</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(7)</w:t>
      </w:r>
      <w:r>
        <w:rPr/>
        <w:t xml:space="preserve">RCW </w:t>
      </w:r>
      <w:r>
        <w:t xml:space="preserve">44</w:t>
      </w:r>
      <w:r>
        <w:rPr/>
        <w:t xml:space="preserve">.</w:t>
      </w:r>
      <w:r>
        <w:t xml:space="preserve">55</w:t>
      </w:r>
      <w:r>
        <w:rPr/>
        <w:t xml:space="preserve">.</w:t>
      </w:r>
      <w:r>
        <w:t xml:space="preserve">050</w:t>
      </w:r>
      <w:r>
        <w:rPr/>
        <w:t xml:space="preserve"> (Staff support) and 2003 c 404 s 5;</w:t>
      </w:r>
    </w:p>
    <w:p>
      <w:pPr>
        <w:spacing w:before="0" w:after="0" w:line="408" w:lineRule="exact"/>
        <w:ind w:left="0" w:right="0" w:firstLine="576"/>
        <w:jc w:val="left"/>
      </w:pPr>
      <w:r>
        <w:t>(8)</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0" w:after="0" w:line="408" w:lineRule="exact"/>
        <w:ind w:left="0" w:right="0" w:firstLine="576"/>
        <w:jc w:val="left"/>
      </w:pPr>
      <w:r>
        <w:t>(9)</w:t>
      </w:r>
      <w:r>
        <w:rPr/>
        <w:t xml:space="preserve">RCW </w:t>
      </w:r>
      <w:r>
        <w:t xml:space="preserve">44</w:t>
      </w:r>
      <w:r>
        <w:rPr/>
        <w:t xml:space="preserve">.</w:t>
      </w:r>
      <w:r>
        <w:t xml:space="preserve">68</w:t>
      </w:r>
      <w:r>
        <w:rPr/>
        <w:t xml:space="preserve">.</w:t>
      </w:r>
      <w:r>
        <w:t xml:space="preserve">020</w:t>
      </w:r>
      <w:r>
        <w:rPr/>
        <w:t xml:space="preserve"> (Committee created</w:t>
      </w:r>
      <w:r>
        <w:rPr>
          <w:rFonts w:ascii="Times New Roman" w:hAnsi="Times New Roman"/>
        </w:rPr>
        <w:t xml:space="preserve">—</w:t>
      </w:r>
      <w:r>
        <w:rPr/>
        <w:t xml:space="preserve">Members, terms, vacancies, officers, rules) and 1993 c 332 s 1 &amp; 1986 c 61 s 2; and</w:t>
      </w:r>
    </w:p>
    <w:p>
      <w:pPr>
        <w:spacing w:before="0" w:after="0" w:line="408" w:lineRule="exact"/>
        <w:ind w:left="0" w:right="0" w:firstLine="576"/>
        <w:jc w:val="left"/>
      </w:pPr>
      <w:r>
        <w:t>(10)</w:t>
      </w:r>
      <w:r>
        <w:rPr/>
        <w:t xml:space="preserve">RCW </w:t>
      </w:r>
      <w:r>
        <w:t xml:space="preserve">44</w:t>
      </w:r>
      <w:r>
        <w:rPr/>
        <w:t xml:space="preserve">.</w:t>
      </w:r>
      <w:r>
        <w:t xml:space="preserve">68</w:t>
      </w:r>
      <w:r>
        <w:rPr/>
        <w:t xml:space="preserve">.</w:t>
      </w:r>
      <w:r>
        <w:t xml:space="preserve">035</w:t>
      </w:r>
      <w:r>
        <w:rPr/>
        <w:t xml:space="preserve"> (Administration) and 2001 c 259 s 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RELATED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2018 c 58 s 31 are each amended to read as follows:</w:t>
      </w:r>
    </w:p>
    <w:p>
      <w:pPr>
        <w:spacing w:before="0" w:after="0" w:line="408" w:lineRule="exact"/>
        <w:ind w:left="0" w:right="0" w:firstLine="576"/>
        <w:jc w:val="left"/>
      </w:pPr>
      <w:r>
        <w:rPr/>
        <w:t xml:space="preserve">(1) The office of the superintendent of public instruction shall establish a state-level </w:t>
      </w:r>
      <w:r>
        <w:t>((</w:t>
      </w:r>
      <w:r>
        <w:rPr>
          <w:strike/>
        </w:rPr>
        <w:t xml:space="preserve">building bridges work group that includes</w:t>
      </w:r>
      <w:r>
        <w:t>))</w:t>
      </w:r>
      <w:r>
        <w:rPr/>
        <w:t xml:space="preserve"> </w:t>
      </w:r>
      <w:r>
        <w:rPr>
          <w:u w:val="single"/>
        </w:rPr>
        <w:t xml:space="preserve">advisory committee to be known as the graduation: a team effort partnership advisory committee. The advisory committee shall include</w:t>
      </w:r>
      <w:r>
        <w:rPr/>
        <w:t xml:space="preserve"> K-12 and state agencies that work with youth who have dropped out or are at risk of dropping out of school. The following agencies shall appoint representatives to the </w:t>
      </w:r>
      <w:r>
        <w:t>((</w:t>
      </w:r>
      <w:r>
        <w:rPr>
          <w:strike/>
        </w:rPr>
        <w:t xml:space="preserve">work group</w:t>
      </w:r>
      <w:r>
        <w:t>))</w:t>
      </w:r>
      <w:r>
        <w:rPr/>
        <w:t xml:space="preserve"> </w:t>
      </w:r>
      <w:r>
        <w:rPr>
          <w:u w:val="single"/>
        </w:rPr>
        <w:t xml:space="preserve">advisory committee</w:t>
      </w:r>
      <w:r>
        <w:rPr/>
        <w:t xml:space="preserve">: The office of the superintendent of public instruction, the workforce training and education coordinating board, the department of children, youth, and families, the employment security department, the state board for community and technical colleges, the department of health, the community mobilization office, and the children's services and behavioral health and recovery divisions of the department of social and health services. The </w:t>
      </w:r>
      <w:r>
        <w:t>((</w:t>
      </w:r>
      <w:r>
        <w:rPr>
          <w:strike/>
        </w:rPr>
        <w:t xml:space="preserve">work group should</w:t>
      </w:r>
      <w:r>
        <w:t>))</w:t>
      </w:r>
      <w:r>
        <w:rPr/>
        <w:t xml:space="preserve"> </w:t>
      </w:r>
      <w:r>
        <w:rPr>
          <w:u w:val="single"/>
        </w:rPr>
        <w:t xml:space="preserve">advisory committee shall</w:t>
      </w:r>
      <w:r>
        <w:rPr/>
        <w:t xml:space="preserve">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w:t>
      </w:r>
      <w:r>
        <w:t>((</w:t>
      </w:r>
      <w:r>
        <w:rPr>
          <w:strike/>
        </w:rPr>
        <w:t xml:space="preserve">building bridges</w:t>
      </w:r>
      <w:r>
        <w:t>))</w:t>
      </w:r>
      <w:r>
        <w:rPr/>
        <w:t xml:space="preserve"> programs established in RCW 28A.175.025, the </w:t>
      </w:r>
      <w:r>
        <w:t>((</w:t>
      </w:r>
      <w:r>
        <w:rPr>
          <w:strike/>
        </w:rPr>
        <w:t xml:space="preserve">state-level work group</w:t>
      </w:r>
      <w:r>
        <w:t>))</w:t>
      </w:r>
      <w:r>
        <w:rPr/>
        <w:t xml:space="preserve"> </w:t>
      </w:r>
      <w:r>
        <w:rPr>
          <w:u w:val="single"/>
        </w:rPr>
        <w:t xml:space="preserve">advisory committee</w:t>
      </w:r>
      <w:r>
        <w:rPr/>
        <w:t xml:space="preserve">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w:t>
      </w:r>
      <w:r>
        <w:t>((</w:t>
      </w:r>
      <w:r>
        <w:rPr>
          <w:strike/>
        </w:rPr>
        <w:t xml:space="preserve">(a)</w:t>
      </w:r>
      <w:r>
        <w:t>))</w:t>
      </w:r>
      <w:r>
        <w:rPr/>
        <w:t xml:space="preserve"> The </w:t>
      </w:r>
      <w:r>
        <w:t>((</w:t>
      </w:r>
      <w:r>
        <w:rPr>
          <w:strike/>
        </w:rPr>
        <w:t xml:space="preserve">work group</w:t>
      </w:r>
      <w:r>
        <w:t>))</w:t>
      </w:r>
      <w:r>
        <w:rPr/>
        <w:t xml:space="preserve"> </w:t>
      </w:r>
      <w:r>
        <w:rPr>
          <w:u w:val="single"/>
        </w:rPr>
        <w:t xml:space="preserve">advisory committee</w:t>
      </w:r>
      <w:r>
        <w:rPr/>
        <w:t xml:space="preserve">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t>((</w:t>
      </w:r>
      <w:r>
        <w:rPr>
          <w:strike/>
        </w:rPr>
        <w:t xml:space="preserve">(b) By September 15, 2010, the work group shall report on:</w:t>
      </w:r>
    </w:p>
    <w:p>
      <w:pPr>
        <w:spacing w:before="0" w:after="0" w:line="408" w:lineRule="exact"/>
        <w:ind w:left="0" w:right="0" w:firstLine="576"/>
        <w:jc w:val="left"/>
      </w:pPr>
      <w:r>
        <w:rPr>
          <w:strike/>
        </w:rPr>
        <w:t xml:space="preserve">(i) A recommended state goal and annual state targets for the percentage of students graduating from high school;</w:t>
      </w:r>
    </w:p>
    <w:p>
      <w:pPr>
        <w:spacing w:before="0" w:after="0" w:line="408" w:lineRule="exact"/>
        <w:ind w:left="0" w:right="0" w:firstLine="576"/>
        <w:jc w:val="left"/>
      </w:pPr>
      <w:r>
        <w:rPr>
          <w:strike/>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strike/>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strike/>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r>
        <w:t>))</w:t>
      </w:r>
    </w:p>
    <w:p>
      <w:pPr>
        <w:spacing w:before="0" w:after="0" w:line="408" w:lineRule="exact"/>
        <w:ind w:left="0" w:right="0" w:firstLine="576"/>
        <w:jc w:val="left"/>
      </w:pPr>
      <w:r>
        <w:rPr/>
        <w:t xml:space="preserve">(4) State agencies in the </w:t>
      </w:r>
      <w:r>
        <w:t>((</w:t>
      </w:r>
      <w:r>
        <w:rPr>
          <w:strike/>
        </w:rPr>
        <w:t xml:space="preserve">building bridges work group</w:t>
      </w:r>
      <w:r>
        <w:t>))</w:t>
      </w:r>
      <w:r>
        <w:rPr/>
        <w:t xml:space="preserve"> </w:t>
      </w:r>
      <w:r>
        <w:rPr>
          <w:u w:val="single"/>
        </w:rPr>
        <w:t xml:space="preserve">advisory committee</w:t>
      </w:r>
      <w:r>
        <w:rPr/>
        <w:t xml:space="preserve">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t>((</w:t>
      </w:r>
      <w:r>
        <w:rPr>
          <w:strike/>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strike/>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strike/>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strike/>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strike/>
        </w:rPr>
        <w:t xml:space="preserve">(d) The development of integrated or school-based one-stop shopping for services that would:</w:t>
      </w:r>
    </w:p>
    <w:p>
      <w:pPr>
        <w:spacing w:before="0" w:after="0" w:line="408" w:lineRule="exact"/>
        <w:ind w:left="0" w:right="0" w:firstLine="576"/>
        <w:jc w:val="left"/>
      </w:pPr>
      <w:r>
        <w:rPr>
          <w:strike/>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strike/>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strike/>
        </w:rPr>
        <w:t xml:space="preserve">(iii) Build a system of single case managers across agencies;</w:t>
      </w:r>
    </w:p>
    <w:p>
      <w:pPr>
        <w:spacing w:before="0" w:after="0" w:line="408" w:lineRule="exact"/>
        <w:ind w:left="0" w:right="0" w:firstLine="576"/>
        <w:jc w:val="left"/>
      </w:pPr>
      <w:r>
        <w:rPr>
          <w:strike/>
        </w:rPr>
        <w:t xml:space="preserve">(e) Launching a statewide media campaign on increasing the high school graduation rate; and</w:t>
      </w:r>
    </w:p>
    <w:p>
      <w:pPr>
        <w:spacing w:before="0" w:after="0" w:line="408" w:lineRule="exact"/>
        <w:ind w:left="0" w:right="0" w:firstLine="576"/>
        <w:jc w:val="left"/>
      </w:pPr>
      <w:r>
        <w:rPr>
          <w:strike/>
        </w:rPr>
        <w:t xml:space="preserve">(f) Developing a statewide database of available services for vulnerable youth.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recommend to the state board of education that a school district be released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The state board shall release a school district from the designation as a required action district upon confirmation that the district has met the requirements for a release.</w:t>
      </w:r>
    </w:p>
    <w:p>
      <w:pPr>
        <w:spacing w:before="0" w:after="0" w:line="408" w:lineRule="exact"/>
        <w:ind w:left="0" w:right="0" w:firstLine="576"/>
        <w:jc w:val="left"/>
      </w:pPr>
      <w:r>
        <w:rPr/>
        <w:t xml:space="preserve">(3) If the state board of education determines that the required action district has not met the requirements for release after at least three years of implementing a required action plan, the board may recommend that the district remain in required action and submit a new or revised plan under the process in RCW 28A.657.050, or the board may direct that the school district be assigned to level two of the required action process as provided in RCW 28A.657.105. If the required action district received a federal school improvement grant for the same persistently lowest-achieving school in 2010 or 2011, the board may direct that the school district be assigned to level two of the required action process after one year of implementing a required action plan under this chapter if the district is not making progress. </w:t>
      </w:r>
      <w:r>
        <w:t>((</w:t>
      </w:r>
      <w:r>
        <w:rPr>
          <w:strike/>
        </w:rPr>
        <w:t xml:space="preserve">Before making a determination of whether to recommend that a school district that is not making progress remain in required action or be assigned to level two of the required action process, the state board of education must submit its findings to the education accountability system oversight committee under RCW 28A.657.130 and provide an opportunity for the oversight committee to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strik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in the 2017-18 academic year, tuition</w:t>
      </w:r>
      <w:r>
        <w:t>))</w:t>
      </w:r>
      <w:r>
        <w:rPr/>
        <w:t xml:space="preserve"> </w:t>
      </w:r>
      <w:r>
        <w:rPr>
          <w:u w:val="single"/>
        </w:rPr>
        <w:t xml:space="preserve">Tuition</w:t>
      </w:r>
      <w:r>
        <w:rPr/>
        <w:t xml:space="preserve"> operating fees for resident undergraduates at </w:t>
      </w:r>
      <w:r>
        <w:t>((</w:t>
      </w:r>
      <w:r>
        <w:rPr>
          <w:strike/>
        </w:rPr>
        <w:t xml:space="preserve">community and technical colleges</w:t>
      </w:r>
      <w:r>
        <w:t>))</w:t>
      </w:r>
      <w:r>
        <w:rPr/>
        <w:t xml:space="preserve"> </w:t>
      </w:r>
      <w:r>
        <w:rPr>
          <w:u w:val="single"/>
        </w:rPr>
        <w:t xml:space="preserve">institutions of higher education as defined in RCW 28B.10.016,</w:t>
      </w:r>
      <w:r>
        <w:rPr/>
        <w:t xml:space="preserve">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with the 2016-17 academic year, full-time tuition operating fees for resident undergraduates for:</w:t>
      </w:r>
    </w:p>
    <w:p>
      <w:pPr>
        <w:spacing w:before="0" w:after="0" w:line="408" w:lineRule="exact"/>
        <w:ind w:left="0" w:right="0" w:firstLine="576"/>
        <w:jc w:val="left"/>
      </w:pPr>
      <w:r>
        <w:rPr>
          <w:strike/>
        </w:rPr>
        <w:t xml:space="preserve">(i) State universities shall be fifteen percent less than the 2014-15 academic year tuition operating fee; and</w:t>
      </w:r>
    </w:p>
    <w:p>
      <w:pPr>
        <w:spacing w:before="0" w:after="0" w:line="408" w:lineRule="exact"/>
        <w:ind w:left="0" w:right="0" w:firstLine="576"/>
        <w:jc w:val="left"/>
      </w:pPr>
      <w:r>
        <w:rPr>
          <w:strik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strik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w:t>
      </w:r>
      <w:r>
        <w:t>((</w:t>
      </w:r>
      <w:r>
        <w:rPr>
          <w:strike/>
        </w:rPr>
        <w:t xml:space="preserve">Life sciences discovery fund authority, RCW 43.350.020;</w:t>
      </w:r>
    </w:p>
    <w:p>
      <w:pPr>
        <w:spacing w:before="0" w:after="0" w:line="408" w:lineRule="exact"/>
        <w:ind w:left="0" w:right="0" w:firstLine="576"/>
        <w:jc w:val="left"/>
      </w:pPr>
      <w:r>
        <w:rPr>
          <w:strike/>
        </w:rPr>
        <w:t xml:space="preserve">(u)</w:t>
      </w:r>
      <w:r>
        <w:t>))</w:t>
      </w:r>
      <w:r>
        <w:rPr/>
        <w:t xml:space="preserve"> Joint legislative audit and review committee, RCW 44.28.010;</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Joint committee on energy supply and energy conservation, RCW 44.39.015;</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Legislative evaluation and accountability program committee, RCW 44.48.010;</w:t>
      </w:r>
    </w:p>
    <w:p>
      <w:pPr>
        <w:spacing w:before="0" w:after="0" w:line="408" w:lineRule="exact"/>
        <w:ind w:left="0" w:right="0" w:firstLine="576"/>
        <w:jc w:val="left"/>
      </w:pPr>
      <w:r>
        <w:t>((</w:t>
      </w:r>
      <w:r>
        <w:rPr>
          <w:strike/>
        </w:rPr>
        <w:t xml:space="preserve">(x) Agency council on coordinated transportation, RCW 47.06B.020;</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Washington horse racing commission, RCW 67.16.014;</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Correctional industries board of directors, RCW 72.09.080;</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Joint committee on veterans' and military affairs, RCW 73.04.150;</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Joint legislative committee on water supply during drought, RCW 90.86.020; </w:t>
      </w:r>
      <w:r>
        <w:rPr>
          <w:u w:val="single"/>
        </w:rPr>
        <w:t xml:space="preserve">and</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Statute law committee, RCW 1.08.001</w:t>
      </w:r>
      <w:r>
        <w:t>((</w:t>
      </w:r>
      <w:r>
        <w:rPr>
          <w:strike/>
        </w:rPr>
        <w:t xml:space="preserve">; and</w:t>
      </w:r>
    </w:p>
    <w:p>
      <w:pPr>
        <w:spacing w:before="0" w:after="0" w:line="408" w:lineRule="exact"/>
        <w:ind w:left="0" w:right="0" w:firstLine="576"/>
        <w:jc w:val="left"/>
      </w:pPr>
      <w:r>
        <w:rPr>
          <w:strike/>
        </w:rPr>
        <w:t xml:space="preserve">(dd) Joint legislative oversight committee on trade policy, RCW 44.55.020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572</w:t>
      </w:r>
      <w:r>
        <w:rPr/>
        <w:t xml:space="preserve"> and 2016 c 57 s 1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574</w:t>
      </w:r>
      <w:r>
        <w:rPr/>
        <w:t xml:space="preserve"> and 2016 c 57 s 2 are each amended to read as follows:</w:t>
      </w:r>
    </w:p>
    <w:p>
      <w:pPr>
        <w:spacing w:before="0" w:after="0" w:line="408" w:lineRule="exact"/>
        <w:ind w:left="0" w:right="0" w:firstLine="576"/>
        <w:jc w:val="left"/>
      </w:pPr>
      <w:r>
        <w:rPr/>
        <w:t xml:space="preserve">The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325</w:t>
      </w:r>
      <w:r>
        <w:rPr/>
        <w:t xml:space="preserve"> and 2008 c 222 s 4 are each amended to read as follows:</w:t>
      </w:r>
    </w:p>
    <w:p>
      <w:pPr>
        <w:spacing w:before="0" w:after="0" w:line="408" w:lineRule="exact"/>
        <w:ind w:left="0" w:right="0" w:firstLine="576"/>
        <w:jc w:val="left"/>
      </w:pPr>
      <w:r>
        <w:rPr/>
        <w:t xml:space="preserve">(1) A legislative oral history committee is created, which shall consist of the following individuals:</w:t>
      </w:r>
    </w:p>
    <w:p>
      <w:pPr>
        <w:spacing w:before="0" w:after="0" w:line="408" w:lineRule="exact"/>
        <w:ind w:left="0" w:right="0" w:firstLine="576"/>
        <w:jc w:val="left"/>
      </w:pPr>
      <w:r>
        <w:rPr/>
        <w:t xml:space="preserve">(a) Four members of the house of representatives, two from each of the two largest caucuses of the house, appointed by the speaker of the house of representatives;</w:t>
      </w:r>
    </w:p>
    <w:p>
      <w:pPr>
        <w:spacing w:before="0" w:after="0" w:line="408" w:lineRule="exact"/>
        <w:ind w:left="0" w:right="0" w:firstLine="576"/>
        <w:jc w:val="left"/>
      </w:pPr>
      <w:r>
        <w:rPr/>
        <w:t xml:space="preserve">(b) Four members of the senate, two from each of the two largest caucuses of the senate, appointed by the president of the senate;</w:t>
      </w:r>
    </w:p>
    <w:p>
      <w:pPr>
        <w:spacing w:before="0" w:after="0" w:line="408" w:lineRule="exact"/>
        <w:ind w:left="0" w:right="0" w:firstLine="576"/>
        <w:jc w:val="left"/>
      </w:pPr>
      <w:r>
        <w:rPr/>
        <w:t xml:space="preserve">(c) The chief clerk of the house of representatives; and</w:t>
      </w:r>
    </w:p>
    <w:p>
      <w:pPr>
        <w:spacing w:before="0" w:after="0" w:line="408" w:lineRule="exact"/>
        <w:ind w:left="0" w:right="0" w:firstLine="576"/>
        <w:jc w:val="left"/>
      </w:pPr>
      <w:r>
        <w:rPr/>
        <w:t xml:space="preserve">(d) The secretary of the senate.</w:t>
      </w:r>
    </w:p>
    <w:p>
      <w:pPr>
        <w:spacing w:before="0" w:after="0" w:line="408" w:lineRule="exact"/>
        <w:ind w:left="0" w:right="0" w:firstLine="576"/>
        <w:jc w:val="left"/>
      </w:pPr>
      <w:r>
        <w:rPr/>
        <w:t xml:space="preserve">(2) Ex officio members may be appointed by a majority vote of the committee's members appointed under subsection (1) of this section.</w:t>
      </w:r>
    </w:p>
    <w:p>
      <w:pPr>
        <w:spacing w:before="0" w:after="0" w:line="408" w:lineRule="exact"/>
        <w:ind w:left="0" w:right="0" w:firstLine="576"/>
        <w:jc w:val="left"/>
      </w:pPr>
      <w:r>
        <w:rPr/>
        <w:t xml:space="preserve">(3) The chair of the committee shall be elected by a majority vote of the committee members appointed under subsection (1) of this section.</w:t>
      </w:r>
    </w:p>
    <w:p>
      <w:pPr>
        <w:spacing w:before="0" w:after="0" w:line="408" w:lineRule="exact"/>
        <w:ind w:left="0" w:right="0" w:firstLine="576"/>
        <w:jc w:val="left"/>
      </w:pPr>
      <w:r>
        <w:rPr>
          <w:u w:val="single"/>
        </w:rPr>
        <w:t xml:space="preserve">(4) Staff support for the committee must be provided by the office of the secretary of the senate and the office of the chief clerk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systems administrative committee created under RCW 44.68.030.</w:t>
      </w:r>
    </w:p>
    <w:p>
      <w:pPr>
        <w:spacing w:before="0" w:after="0" w:line="408" w:lineRule="exact"/>
        <w:ind w:left="0" w:right="0" w:firstLine="576"/>
        <w:jc w:val="left"/>
      </w:pPr>
      <w:r>
        <w:rPr/>
        <w:t xml:space="preserve">(2) "Center" means the legislative service center established under RCW 44.68.060.</w:t>
      </w:r>
    </w:p>
    <w:p>
      <w:pPr>
        <w:spacing w:before="0" w:after="0" w:line="408" w:lineRule="exact"/>
        <w:ind w:left="0" w:right="0" w:firstLine="576"/>
        <w:jc w:val="left"/>
      </w:pPr>
      <w:r>
        <w:rPr/>
        <w:t xml:space="preserve">(3) "Coordinator" means the legislative systems coordinator employed under RCW 44.68.040.</w:t>
      </w:r>
    </w:p>
    <w:p>
      <w:pPr>
        <w:spacing w:before="0" w:after="0" w:line="408" w:lineRule="exact"/>
        <w:ind w:left="0" w:right="0" w:firstLine="576"/>
        <w:jc w:val="left"/>
      </w:pPr>
      <w:r>
        <w:t>((</w:t>
      </w:r>
      <w:r>
        <w:rPr>
          <w:strike/>
        </w:rPr>
        <w:t xml:space="preserve">(4) "Systems committee" means the joint legislative systems committee created under RCW 44.68.020.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 committee, after consultation with the</w:t>
      </w:r>
      <w:r>
        <w:t>))</w:t>
      </w:r>
      <w:r>
        <w:rPr/>
        <w:t xml:space="preserve"> administrative committee</w:t>
      </w:r>
      <w:r>
        <w:t>((</w:t>
      </w:r>
      <w:r>
        <w:rPr>
          <w:strike/>
        </w:rPr>
        <w:t xml:space="preserve">,</w:t>
      </w:r>
      <w:r>
        <w:t>))</w:t>
      </w:r>
      <w:r>
        <w:rPr/>
        <w:t xml:space="preserve"> shall employ a legislative systems coordinator. The coordinator shall serve at the pleasure of the </w:t>
      </w:r>
      <w:r>
        <w:t>((</w:t>
      </w:r>
      <w:r>
        <w:rPr>
          <w:strike/>
        </w:rPr>
        <w:t xml:space="preserve">systems</w:t>
      </w:r>
      <w:r>
        <w:t>))</w:t>
      </w:r>
      <w:r>
        <w:rPr/>
        <w:t xml:space="preserve"> </w:t>
      </w:r>
      <w:r>
        <w:rPr>
          <w:u w:val="single"/>
        </w:rPr>
        <w:t xml:space="preserve">administrative</w:t>
      </w:r>
      <w:r>
        <w:rPr/>
        <w:t xml:space="preserve"> committee, which shall fix the coordinator's salary.</w:t>
      </w:r>
    </w:p>
    <w:p>
      <w:pPr>
        <w:spacing w:before="0" w:after="0" w:line="408" w:lineRule="exact"/>
        <w:ind w:left="0" w:right="0" w:firstLine="576"/>
        <w:jc w:val="left"/>
      </w:pPr>
      <w:r>
        <w:rPr/>
        <w:t xml:space="preserve">(2)(a) The coordinator shall serve as the executive and administrative head of the center,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coordinator shall employ or engage and fix the compensation for personnel required to carry out the purposes of this chapter;</w:t>
      </w:r>
    </w:p>
    <w:p>
      <w:pPr>
        <w:spacing w:before="0" w:after="0" w:line="408" w:lineRule="exact"/>
        <w:ind w:left="0" w:right="0" w:firstLine="576"/>
        <w:jc w:val="left"/>
      </w:pPr>
      <w:r>
        <w:rPr/>
        <w:t xml:space="preserve">(c) The coordinator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w:t>
      </w:r>
      <w:r>
        <w:t>((</w:t>
      </w:r>
      <w:r>
        <w:rPr>
          <w:strike/>
        </w:rPr>
        <w:t xml:space="preserve">subject to the approval of the systems committee and</w:t>
      </w:r>
      <w:r>
        <w:t>))</w:t>
      </w:r>
      <w:r>
        <w:rPr/>
        <w:t xml:space="preserve">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 </w:t>
      </w:r>
      <w:r>
        <w:rPr>
          <w:u w:val="single"/>
        </w:rPr>
        <w:t xml:space="preserve">and</w:t>
      </w:r>
    </w:p>
    <w:p>
      <w:pPr>
        <w:spacing w:before="0" w:after="0" w:line="408" w:lineRule="exact"/>
        <w:ind w:left="0" w:right="0" w:firstLine="576"/>
        <w:jc w:val="left"/>
      </w:pPr>
      <w:r>
        <w:rPr/>
        <w:t xml:space="preserve">(4) Approve strategic and tactical information technology plans and provide guidance in operational matters required to carry out (a) the purposes of this chapter; and (b) the distribution of legislative information</w:t>
      </w:r>
      <w:r>
        <w:t>((</w:t>
      </w:r>
      <w:r>
        <w:rPr>
          <w:strike/>
        </w:rPr>
        <w:t xml:space="preserve">;</w:t>
      </w:r>
    </w:p>
    <w:p>
      <w:pPr>
        <w:spacing w:before="0" w:after="0" w:line="408" w:lineRule="exact"/>
        <w:ind w:left="0" w:right="0" w:firstLine="576"/>
        <w:jc w:val="left"/>
      </w:pPr>
      <w:r>
        <w:rPr>
          <w:strike/>
        </w:rPr>
        <w:t xml:space="preserve">(5) Generally assist the systems committee in carrying out its responsibilities under this chapter, as directed by the systems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w:t>
      </w:r>
      <w:r>
        <w:t>((</w:t>
      </w:r>
      <w:r>
        <w:rPr>
          <w:strike/>
        </w:rPr>
        <w:t xml:space="preserve">, subject to the approval of the systems committee,</w:t>
      </w:r>
      <w:r>
        <w:t>))</w:t>
      </w:r>
      <w:r>
        <w:rPr/>
        <w:t xml:space="preserve"> shall establish a legislative service center. The center shall provide automatic data processing services, equipment, training, and support to the legislature and legislative agencies. The center may also, by agreement, provide services to agencies of the judicial and executive branches of state government and other governmental entities, and provide public access to legislative information. All operations of the center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in the center shall rest solely with the originator and shall be made in accordance with any law regulating the disclosure of such information. The originator is the person who directly places information in the center.</w:t>
      </w:r>
    </w:p>
    <w:p>
      <w:pPr>
        <w:spacing w:before="0" w:after="0" w:line="408" w:lineRule="exact"/>
        <w:ind w:left="0" w:right="0" w:firstLine="576"/>
        <w:jc w:val="left"/>
      </w:pPr>
      <w:r>
        <w:rPr/>
        <w:t xml:space="preserve">(3) When utilizing the center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in the center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legislative service center, under the direction of </w:t>
      </w:r>
      <w:r>
        <w:t>((</w:t>
      </w:r>
      <w:r>
        <w:rPr>
          <w:strike/>
        </w:rPr>
        <w:t xml:space="preserve">the joint legislative systems committee and</w:t>
      </w:r>
      <w:r>
        <w:t>))</w:t>
      </w:r>
      <w:r>
        <w:rPr/>
        <w:t xml:space="preserve">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coordinator. Vouchers may be drawn on funds appropriated by law for the </w:t>
      </w:r>
      <w:r>
        <w:t>((</w:t>
      </w:r>
      <w:r>
        <w:rPr>
          <w:strike/>
        </w:rPr>
        <w:t xml:space="preserve">systems committee,</w:t>
      </w:r>
      <w:r>
        <w:t>))</w:t>
      </w:r>
      <w:r>
        <w:rPr/>
        <w:t xml:space="preserve"> administrative committee</w:t>
      </w:r>
      <w:r>
        <w:t>((</w:t>
      </w:r>
      <w:r>
        <w:rPr>
          <w:strike/>
        </w:rPr>
        <w:t xml:space="preserve">,</w:t>
      </w:r>
      <w:r>
        <w:t>))</w:t>
      </w:r>
      <w:r>
        <w:rPr/>
        <w:t xml:space="preserve"> and center: PROVIDED, That the senate, house of representatives, and code reviser may authorize the </w:t>
      </w:r>
      <w:r>
        <w:t>((</w:t>
      </w:r>
      <w:r>
        <w:rPr>
          <w:strike/>
        </w:rPr>
        <w:t xml:space="preserve">systems committee,</w:t>
      </w:r>
      <w:r>
        <w:t>))</w:t>
      </w:r>
      <w:r>
        <w:rPr/>
        <w:t xml:space="preserve"> administrative committee</w:t>
      </w:r>
      <w:r>
        <w:t>((</w:t>
      </w:r>
      <w:r>
        <w:rPr>
          <w:strike/>
        </w:rPr>
        <w:t xml:space="preserve">,</w:t>
      </w:r>
      <w:r>
        <w:t>))</w:t>
      </w:r>
      <w:r>
        <w:rPr/>
        <w:t xml:space="preserve"> and center to draw on funds appropriated by the legislature for related information technology expenses. The senate and house of representatives may transfer moneys appropriated for legislative expenses to the </w:t>
      </w:r>
      <w:r>
        <w:t>((</w:t>
      </w:r>
      <w:r>
        <w:rPr>
          <w:strike/>
        </w:rPr>
        <w:t xml:space="preserve">systems committee,</w:t>
      </w:r>
      <w:r>
        <w:t>))</w:t>
      </w:r>
      <w:r>
        <w:rPr/>
        <w:t xml:space="preserve"> administrative committee</w:t>
      </w:r>
      <w:r>
        <w:t>((</w:t>
      </w:r>
      <w:r>
        <w:rPr>
          <w:strike/>
        </w:rPr>
        <w:t xml:space="preserve">,</w:t>
      </w:r>
      <w:r>
        <w:t>))</w:t>
      </w:r>
      <w:r>
        <w:rPr/>
        <w:t xml:space="preserve"> and center,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w:t>
      </w:r>
      <w:r>
        <w:t>((</w:t>
      </w:r>
      <w:r>
        <w:rPr>
          <w:strike/>
        </w:rPr>
        <w:t xml:space="preserve">of the systems committee and</w:t>
      </w:r>
      <w:r>
        <w:t>))</w:t>
      </w:r>
      <w:r>
        <w:rPr/>
        <w:t xml:space="preserve">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administrative</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 committee,</w:t>
      </w:r>
      <w:r>
        <w:t>))</w:t>
      </w:r>
      <w:r>
        <w:rPr/>
        <w:t xml:space="preserve"> administrative committee</w:t>
      </w:r>
      <w:r>
        <w:t>((</w:t>
      </w:r>
      <w:r>
        <w:rPr>
          <w:strike/>
        </w:rPr>
        <w:t xml:space="preserve">,</w:t>
      </w:r>
      <w:r>
        <w:t>))</w:t>
      </w:r>
      <w:r>
        <w:rPr/>
        <w:t xml:space="preserve"> and center are hereby expressly exempted from the provisions of chapter 43.105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4afc4cd04b2f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3d1094b2e41ea" /><Relationship Type="http://schemas.openxmlformats.org/officeDocument/2006/relationships/footer" Target="/word/footer1.xml" Id="R4afc4cd04b2f4790" /></Relationships>
</file>