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e5d7e16f7845c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2427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Duerr, Springer, Shewmake, Doglio, Fitzgibbon, Ryu, Gregerson, Santos, Tharinger, Davis, Macri, Pollet, Goodman, and Wylie)</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tackling climate change as a goal of the growth management act; and amending RCW 36.70A.020 and 36.70A.480.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and, where specified, also guide the development of regional policies, plans, and strategies adopted under RCW 36.70A.210 and chapter 47.80 RCW</w:t>
      </w:r>
      <w:r>
        <w:rPr/>
        <w:t xml:space="preserve">. </w:t>
      </w:r>
      <w:r>
        <w:rPr>
          <w:u w:val="single"/>
        </w:rPr>
        <w:t xml:space="preserve">It is the intent of the legislature that new or amended goals required after January 1, 2020, be adopted concurrent with the scheduled update provided in RCW 36.70A.130.</w:t>
      </w:r>
      <w:r>
        <w:rPr/>
        <w:t xml:space="preserve"> The following goals are not listed in order of priority and shall be used exclusively for the purpose of guiding the development of comprehensive plans </w:t>
      </w:r>
      <w:r>
        <w:t>((</w:t>
      </w:r>
      <w:r>
        <w:rPr>
          <w:strike/>
        </w:rPr>
        <w:t xml:space="preserve">and</w:t>
      </w:r>
      <w:r>
        <w:t>))</w:t>
      </w:r>
      <w:r>
        <w:rPr>
          <w:u w:val="single"/>
        </w:rPr>
        <w:t xml:space="preserve">,</w:t>
      </w:r>
      <w:r>
        <w:rPr/>
        <w:t xml:space="preserve"> development regulations</w:t>
      </w:r>
      <w:r>
        <w:rPr>
          <w:u w:val="single"/>
        </w:rPr>
        <w:t xml:space="preserve">, and, where specified, regional plans, policies, and strategies</w:t>
      </w:r>
      <w:r>
        <w:rPr/>
        <w:t xml:space="preserve">:</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(14)(a) Climate change. Develop and implement comprehensive plans, development regulations, and regional policies, plans, and strategies under RCW 36.70A.210 and chapter 47.80 RCW that help achieve state greenhouse gas emission reduction limits; adapt to the effects of a changing climate; build resilient infrastructure; and protect people and property from natural hazards exacerbated by the changing climate.</w:t>
      </w:r>
    </w:p>
    <w:p>
      <w:pPr>
        <w:spacing w:before="0" w:after="0" w:line="408" w:lineRule="exact"/>
        <w:ind w:left="0" w:right="0" w:firstLine="576"/>
        <w:jc w:val="left"/>
      </w:pPr>
      <w:r>
        <w:rPr>
          <w:u w:val="single"/>
        </w:rPr>
        <w:t xml:space="preserve">(b) The goals of (a) of this subsection (14) only apply to counties, and cities within those counties, that are required to establish a review and evaluation program under RCW 36.70A.215 or that have a population of greater than three hundred thousand as determined by the office of financial management population estimates. Because of the benefits of doing so, other counties, and the cities within those counties, are encouraged to consider climate change to be a goal of this chapter, consistent with (a) of this subsection (14). The state recognizes that cities and counties subject to this goal will have significant variation in their capacity to help achieve the state greenhouse gas emission limits through planning under this chapter.</w:t>
      </w:r>
    </w:p>
    <w:p>
      <w:pPr>
        <w:spacing w:before="0" w:after="0" w:line="408" w:lineRule="exact"/>
        <w:ind w:left="0" w:right="0" w:firstLine="576"/>
        <w:jc w:val="left"/>
      </w:pPr>
      <w:r>
        <w:rPr>
          <w:u w:val="single"/>
        </w:rPr>
        <w:t xml:space="preserve">(c) To support cities and counties in their understanding of how to achieve the goals of (a) of this subsection, the office of financial management must contract with researchers at the University of Washington or Washington State University for a report to be submitted to the legislature by July 1, 2021, that:</w:t>
      </w:r>
    </w:p>
    <w:p>
      <w:pPr>
        <w:spacing w:before="0" w:after="0" w:line="408" w:lineRule="exact"/>
        <w:ind w:left="0" w:right="0" w:firstLine="576"/>
        <w:jc w:val="left"/>
      </w:pPr>
      <w:r>
        <w:rPr>
          <w:u w:val="single"/>
        </w:rPr>
        <w:t xml:space="preserve">(i) Documents existing urban heat island ecological and salmonid impacts caused by Washington cities greater than one hundred thousand in population;</w:t>
      </w:r>
    </w:p>
    <w:p>
      <w:pPr>
        <w:spacing w:before="0" w:after="0" w:line="408" w:lineRule="exact"/>
        <w:ind w:left="0" w:right="0" w:firstLine="576"/>
        <w:jc w:val="left"/>
      </w:pPr>
      <w:r>
        <w:rPr>
          <w:u w:val="single"/>
        </w:rPr>
        <w:t xml:space="preserve">(ii) Assesses how the intensity of urban heat island ecological and salmonid effects are likely to change with anticipated population growth through 2050; and</w:t>
      </w:r>
    </w:p>
    <w:p>
      <w:pPr>
        <w:spacing w:before="0" w:after="0" w:line="408" w:lineRule="exact"/>
        <w:ind w:left="0" w:right="0" w:firstLine="576"/>
        <w:jc w:val="left"/>
      </w:pPr>
      <w:r>
        <w:rPr>
          <w:u w:val="single"/>
        </w:rPr>
        <w:t xml:space="preserve">(iii) Provides a range of anticipated ecological, salmonid, and human health impacts over a range of scenarios that include, at a minimum, a:</w:t>
      </w:r>
    </w:p>
    <w:p>
      <w:pPr>
        <w:spacing w:before="0" w:after="0" w:line="408" w:lineRule="exact"/>
        <w:ind w:left="0" w:right="0" w:firstLine="576"/>
        <w:jc w:val="left"/>
      </w:pPr>
      <w:r>
        <w:rPr>
          <w:u w:val="single"/>
        </w:rPr>
        <w:t xml:space="preserve">(A) Best case scenario in which a full suite of urban heat island mitigation best practices are undertaken consistently; and</w:t>
      </w:r>
    </w:p>
    <w:p>
      <w:pPr>
        <w:spacing w:before="0" w:after="0" w:line="408" w:lineRule="exact"/>
        <w:ind w:left="0" w:right="0" w:firstLine="576"/>
        <w:jc w:val="left"/>
      </w:pPr>
      <w:r>
        <w:rPr>
          <w:u w:val="single"/>
        </w:rPr>
        <w:t xml:space="preserve">(B) Worst case scenario in which no policy measures specific to mitigating urban heat island effects are undertaken.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fifteen</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
      <w:pPr>
        <w:jc w:val="center"/>
      </w:pPr>
      <w:r>
        <w:rPr>
          <w:b/>
        </w:rPr>
        <w:t>--- END ---</w:t>
      </w:r>
    </w:p>
    <w:sectPr>
      <w:pgNumType w:start="1"/>
      <w:footerReference xmlns:r="http://schemas.openxmlformats.org/officeDocument/2006/relationships" r:id="R96747326d17148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88d4718a254585" /><Relationship Type="http://schemas.openxmlformats.org/officeDocument/2006/relationships/footer" Target="/word/footer1.xml" Id="R96747326d17148a3" /></Relationships>
</file>