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169a800c1497b" /></Relationships>
</file>

<file path=word/document.xml><?xml version="1.0" encoding="utf-8"?>
<w:document xmlns:w="http://schemas.openxmlformats.org/wordprocessingml/2006/main">
  <w:body>
    <w:p>
      <w:r>
        <w:t>H-4750.2</w:t>
      </w:r>
    </w:p>
    <w:p>
      <w:pPr>
        <w:jc w:val="center"/>
      </w:pPr>
      <w:r>
        <w:t>_______________________________________________</w:t>
      </w:r>
    </w:p>
    <w:p/>
    <w:p>
      <w:pPr>
        <w:jc w:val="center"/>
      </w:pPr>
      <w:r>
        <w:rPr>
          <w:b/>
        </w:rPr>
        <w:t>SUBSTITUTE HOUSE BILL 2438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Kilduff, Davis, Orwall, Robinson, Kloba, Thai, Peterson, Macri, Ormsby, Pollet, Wylie,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the prescription opioid impact account; amending RCW 70.225.040; adding a new chapter to Title 69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forty-seven thousand people in the United States. In 2018, opioids killed seven hundred seventy-six people in Washington and caused over one thousand six hundred hospitalizations for opioid overdose;</w:t>
      </w:r>
    </w:p>
    <w:p>
      <w:pPr>
        <w:spacing w:before="0" w:after="0" w:line="408" w:lineRule="exact"/>
        <w:ind w:left="0" w:right="0" w:firstLine="576"/>
        <w:jc w:val="left"/>
      </w:pPr>
      <w:r>
        <w:rPr/>
        <w:t xml:space="preserve">(c) In 2018, Washington health care providers wrote over five million six hundred thousand opioid prescriptions and over three billion nine hundred million morphine milligram equivalents of opioid-based medications were dispensed in Washington; and</w:t>
      </w:r>
    </w:p>
    <w:p>
      <w:pPr>
        <w:spacing w:before="0" w:after="0" w:line="408" w:lineRule="exact"/>
        <w:ind w:left="0" w:right="0" w:firstLine="576"/>
        <w:jc w:val="left"/>
      </w:pPr>
      <w:r>
        <w:rPr/>
        <w:t xml:space="preserve">(d) Washington, in addition to a number of other states, has filed suit against a large manufacturer of opioids alleging the manufacturer used deceptive marketing practices to convince doctors and the public that their drugs are effective for treating chronic pain and have a low risk of addiction, contrary to overwhelming medical evidence.</w:t>
      </w:r>
    </w:p>
    <w:p>
      <w:pPr>
        <w:spacing w:before="0" w:after="0" w:line="408" w:lineRule="exact"/>
        <w:ind w:left="0" w:right="0" w:firstLine="576"/>
        <w:jc w:val="left"/>
      </w:pPr>
      <w:r>
        <w:rPr/>
        <w:t xml:space="preserve">(2) The legislature recognizes that it has taken steps to respond to the opioid overdose epidemic; however, funding for these efforts remains lacking.</w:t>
      </w:r>
    </w:p>
    <w:p>
      <w:pPr>
        <w:spacing w:before="0" w:after="0" w:line="408" w:lineRule="exact"/>
        <w:ind w:left="0" w:right="0" w:firstLine="576"/>
        <w:jc w:val="left"/>
      </w:pPr>
      <w:r>
        <w:rPr/>
        <w:t xml:space="preserve">(3) Therefore, the legislature intends to create the prescription opioid impact account to provide supplemental funding to help combat the opioid overdose epidemic.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"Impact fee" means a payment of money imposed upon a manufacturer of prescription opioids under this chapter to pay for a share of the cost of preventing and treating opioid addiction.</w:t>
      </w:r>
    </w:p>
    <w:p>
      <w:pPr>
        <w:spacing w:before="0" w:after="0" w:line="408" w:lineRule="exact"/>
        <w:ind w:left="0" w:right="0" w:firstLine="576"/>
        <w:jc w:val="left"/>
      </w:pPr>
      <w:r>
        <w:rPr/>
        <w:t xml:space="preserve">(3) "Manufacturer of prescription opioids" or "opioid manufacturer" means a person who is engaged in manufacturing, preparing, propagating, compounding, processing, packaging, repackaging, or labeling of a prescription opioid drug, but does not include a person who is engaged in the preparation and dispensing of a drug pursuant to a prescription.</w:t>
      </w:r>
    </w:p>
    <w:p>
      <w:pPr>
        <w:spacing w:before="0" w:after="0" w:line="408" w:lineRule="exact"/>
        <w:ind w:left="0" w:right="0" w:firstLine="576"/>
        <w:jc w:val="left"/>
      </w:pPr>
      <w:r>
        <w:rPr/>
        <w:t xml:space="preserve">(4) "Morphine milligram equivalent" means the conversion factor used to calculate the strength of an opioid using morphine dosage as the comparative unit of measure.</w:t>
      </w:r>
    </w:p>
    <w:p>
      <w:pPr>
        <w:spacing w:before="0" w:after="0" w:line="408" w:lineRule="exact"/>
        <w:ind w:left="0" w:right="0" w:firstLine="576"/>
        <w:jc w:val="left"/>
      </w:pPr>
      <w:r>
        <w:rPr/>
        <w:t xml:space="preserve">(5) "Prescription monitoring program" means the program established under chapter 70.225 RCW.</w:t>
      </w:r>
    </w:p>
    <w:p>
      <w:pPr>
        <w:spacing w:before="0" w:after="0" w:line="408" w:lineRule="exact"/>
        <w:ind w:left="0" w:right="0" w:firstLine="576"/>
        <w:jc w:val="left"/>
      </w:pPr>
      <w:r>
        <w:rPr/>
        <w:t xml:space="preserve">(6) "Prescription opioid" means a drug that is a controlled substance under this chapter and is either an opiate, derived from the opium poppy, or an opiate-like synthetic drug. "Prescription opioid" does not include buprenorphine, morphine, or methadone.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prescription opioid impact account is created in the state treasury. All fees collected by the department from manufacturers of opioid prescription products under section 4 of this act and any attorney fees recovered by the attorney general under section 5 of this act must be deposited into the account.</w:t>
      </w:r>
    </w:p>
    <w:p>
      <w:pPr>
        <w:spacing w:before="0" w:after="0" w:line="408" w:lineRule="exact"/>
        <w:ind w:left="0" w:right="0" w:firstLine="576"/>
        <w:jc w:val="left"/>
      </w:pPr>
      <w:r>
        <w:rPr/>
        <w:t xml:space="preserve">(2) Moneys in the account may be spent only after appropriation. Expenditures from the account may be used to fund programs and activities within the department or through grants to other state agencies, counties, and cities to:</w:t>
      </w:r>
    </w:p>
    <w:p>
      <w:pPr>
        <w:spacing w:before="0" w:after="0" w:line="408" w:lineRule="exact"/>
        <w:ind w:left="0" w:right="0" w:firstLine="576"/>
        <w:jc w:val="left"/>
      </w:pPr>
      <w:r>
        <w:rPr/>
        <w:t xml:space="preserve">(a) Prevent opioid misuse and abuse;</w:t>
      </w:r>
    </w:p>
    <w:p>
      <w:pPr>
        <w:spacing w:before="0" w:after="0" w:line="408" w:lineRule="exact"/>
        <w:ind w:left="0" w:right="0" w:firstLine="576"/>
        <w:jc w:val="left"/>
      </w:pPr>
      <w:r>
        <w:rPr/>
        <w:t xml:space="preserve">(b) Prevent opioid overdose and overdose related deaths;</w:t>
      </w:r>
    </w:p>
    <w:p>
      <w:pPr>
        <w:spacing w:before="0" w:after="0" w:line="408" w:lineRule="exact"/>
        <w:ind w:left="0" w:right="0" w:firstLine="576"/>
        <w:jc w:val="left"/>
      </w:pPr>
      <w:r>
        <w:rPr/>
        <w:t xml:space="preserve">(c) Identify and treat opioid use disorder; and</w:t>
      </w:r>
    </w:p>
    <w:p>
      <w:pPr>
        <w:spacing w:before="0" w:after="0" w:line="408" w:lineRule="exact"/>
        <w:ind w:left="0" w:right="0" w:firstLine="576"/>
        <w:jc w:val="left"/>
      </w:pPr>
      <w:r>
        <w:rPr/>
        <w:t xml:space="preserve">(d) Reimburse the state general fund with interest for any amounts appropriated to the department during the 2019-2021 biennium for costs to modify the prescription monitoring program to implement the requirements of section 4 of this act.</w:t>
      </w:r>
    </w:p>
    <w:p>
      <w:pPr>
        <w:spacing w:before="0" w:after="0" w:line="408" w:lineRule="exact"/>
        <w:ind w:left="0" w:right="0" w:firstLine="576"/>
        <w:jc w:val="left"/>
      </w:pPr>
      <w:r>
        <w:rPr/>
        <w:t xml:space="preserve">(3) No more than twelve percent of the money annually deposited into the account, excluding the costs for the implementation of subsection (2)(d) of this section, may be used for the administration of this chapter. Costs incurred by the attorney general to bring an action to enforce this chapter shall be covered by the account and are not subject to or included in the twelve percent cap on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more than one hundred thousand morphine milligram equivalents of an opioid manufacturer's prescription opioid products are dispensed in this state during a quarter year, the department must provide a quarterly statement to the manufacturer that states the amount of opioids from the manufacturer that were dispensed in the previous quarter as reported in the prescription monitoring program. The opioid manufacturer must pay to the department a prescription opioid impact fee of one cent per morphine milligram equivalent for a prescription opioid dispensed and reported in the prescription monitoring program.</w:t>
      </w:r>
    </w:p>
    <w:p>
      <w:pPr>
        <w:spacing w:before="0" w:after="0" w:line="408" w:lineRule="exact"/>
        <w:ind w:left="0" w:right="0" w:firstLine="576"/>
        <w:jc w:val="left"/>
      </w:pPr>
      <w:r>
        <w:rPr/>
        <w:t xml:space="preserve">(2) If a manufacturer of prescription opioids fails to pay the impact fee within forty-five days of the date of a statement as required under this section, the department shall assess a penalty of one hundred dollars per day or ten percent of the impact fee due,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on behalf of the state to enforce this chapter. The attorney general may recover interest and reasonable attorney fees and expenses as a result of a successful action to enforce this chapter. Any attorney fees recovered in an action to enforce this chapter must be remitted to the prescription opioid impact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shall provide technical assistance, as requested by the department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w:t>
      </w:r>
      <w:r>
        <w:t>((</w:t>
      </w:r>
      <w:r>
        <w:rPr>
          <w:strike/>
        </w:rPr>
        <w:t xml:space="preserve">or</w:t>
      </w:r>
      <w:r>
        <w:t>))</w:t>
      </w:r>
      <w:r>
        <w:rPr>
          <w:u w:val="single"/>
        </w:rPr>
        <w:t xml:space="preserve">,</w:t>
      </w:r>
      <w:r>
        <w:rPr/>
        <w:t xml:space="preserve"> chapter 69.50 RCW </w:t>
      </w:r>
      <w:r>
        <w:rPr>
          <w:u w:val="single"/>
        </w:rPr>
        <w:t xml:space="preserve">or chapter 69.--- RCW (the new chapter created in section 9 of this act)</w:t>
      </w:r>
      <w:r>
        <w:rPr/>
        <w:t xml:space="preserve">;</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and physician assistants;</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e0ad522082849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b858858474bd5" /><Relationship Type="http://schemas.openxmlformats.org/officeDocument/2006/relationships/footer" Target="/word/footer1.xml" Id="Rae0ad522082849ca" /></Relationships>
</file>