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2de5bf770479e" /></Relationships>
</file>

<file path=word/document.xml><?xml version="1.0" encoding="utf-8"?>
<w:document xmlns:w="http://schemas.openxmlformats.org/wordprocessingml/2006/main">
  <w:body>
    <w:p>
      <w:r>
        <w:t>H-3877.2</w:t>
      </w:r>
    </w:p>
    <w:p>
      <w:pPr>
        <w:jc w:val="center"/>
      </w:pPr>
      <w:r>
        <w:t>_______________________________________________</w:t>
      </w:r>
    </w:p>
    <w:p/>
    <w:p>
      <w:pPr>
        <w:jc w:val="center"/>
      </w:pPr>
      <w:r>
        <w:rPr>
          <w:b/>
        </w:rPr>
        <w:t>HOUSE BILL 2627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Corry, and Shea</w:t>
      </w:r>
    </w:p>
    <w:p/>
    <w:p>
      <w:r>
        <w:rPr>
          <w:t xml:space="preserve">Read first time 01/16/20.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special allegation and sentencing enhancement for wearing a mask or other disguise during or immediately following the commission of any felony offense; amending RCW 9.94A.533 and 9.94A.729;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prosecuting attorney may file a special allegation in any felony case where sufficient evidence demonstrates that the defendant used a mask or other disguise to obscure the defendant's face during or immediately following the commission of the offense for the purpose of avoiding identification. The state has the burden of proving a special allegation under this section beyond a reasonable doubt. If a jury is had, the jury shall, if it finds the defendant guilty, also find a special verdict as to the special allegation. If no jury is had, the court shall make a finding of fact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An additional twelve months shall be added to the standard sentence range for any ranked offense if the conviction included a finding by special allegation under section 1 of this act. All enhancements under this subsection run consecutively to all other sentencing provisions, including multiple enhancements imposed under this subsection, for all offenses sentenced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 has been convicted of a felony with an enhancement under RCW 9.94A.533(15) committed on or after the effective date of this section may not receive any good time credits or earned release time for the portion of his or her sentence resulting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w:t>
      </w:r>
      <w:r>
        <w:t>((</w:t>
      </w:r>
      <w:r>
        <w:rPr>
          <w:strike/>
        </w:rPr>
        <w:t xml:space="preserve">or 9.94A.5011</w:t>
      </w:r>
      <w:r>
        <w:t>))</w:t>
      </w:r>
      <w:r>
        <w:rPr/>
        <w:t xml:space="preserve">,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(1)(c)</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d2166e198d244b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019cf02c644d1" /><Relationship Type="http://schemas.openxmlformats.org/officeDocument/2006/relationships/footer" Target="/word/footer1.xml" Id="Rd2166e198d244bde" /></Relationships>
</file>