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ce30158cf451f" /></Relationships>
</file>

<file path=word/document.xml><?xml version="1.0" encoding="utf-8"?>
<w:document xmlns:w="http://schemas.openxmlformats.org/wordprocessingml/2006/main">
  <w:body>
    <w:p>
      <w:r>
        <w:t>H-4033.1</w:t>
      </w:r>
    </w:p>
    <w:p>
      <w:pPr>
        <w:jc w:val="center"/>
      </w:pPr>
      <w:r>
        <w:t>_______________________________________________</w:t>
      </w:r>
    </w:p>
    <w:p/>
    <w:p>
      <w:pPr>
        <w:jc w:val="center"/>
      </w:pPr>
      <w:r>
        <w:rPr>
          <w:b/>
        </w:rPr>
        <w:t>HOUSE BILL 2738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Frame, Dent, Kilduff, Klippert, Senn, Ortiz-Self, Leavitt, Chopp, Bergquist, Kloba, and Pollet</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services for individuals with developmental disabilities; amending RCW 43.88C.010; adding new sections to chapter 71A.12 RCW; creating a new section; and repealing RCW 71A.18.020.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caseload forecast council is charged with forecasting the entitlement caseloads for the state of Washington. The council adopts official and courtesy forecasts which help identify the number of people who are eligible for certain services that are necessary in supporting our state's most vulnerable citizens. These services include public assistance programs, state corrections, early childhood education and assistance, public schools, long-term care, medicaid, and foster care. The majority of the services the state provides for individuals with development disabilities are neither caseload forecasted nor entitlements. The legislature intends to significantly reduce the number of eligible individuals who are waiting to receive services by forecasting developmental disability services as entitlements.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w:t>
      </w:r>
      <w:r>
        <w:rPr>
          <w:u w:val="single"/>
        </w:rPr>
        <w:t xml:space="preserve">developmental disabilities,</w:t>
      </w:r>
      <w:r>
        <w:rPr/>
        <w:t xml:space="preserv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July 1, 2020, a client with a qualifying developmental disability who is not receiving a paid service shall receive case resource management services. The department shall provide one case resource manager for every five hundred clients receiving no paid services. The case resource manager's duties include, but are not limited to:</w:t>
      </w:r>
    </w:p>
    <w:p>
      <w:pPr>
        <w:spacing w:before="0" w:after="0" w:line="408" w:lineRule="exact"/>
        <w:ind w:left="0" w:right="0" w:firstLine="576"/>
        <w:jc w:val="left"/>
      </w:pPr>
      <w:r>
        <w:rPr/>
        <w:t xml:space="preserve">(a) Contacting and responding to the client to discuss the client's service needs;</w:t>
      </w:r>
    </w:p>
    <w:p>
      <w:pPr>
        <w:spacing w:before="0" w:after="0" w:line="408" w:lineRule="exact"/>
        <w:ind w:left="0" w:right="0" w:firstLine="576"/>
        <w:jc w:val="left"/>
      </w:pPr>
      <w:r>
        <w:rPr/>
        <w:t xml:space="preserve">(b) Explaining to the client the service options available through the department or other community resources; and</w:t>
      </w:r>
    </w:p>
    <w:p>
      <w:pPr>
        <w:spacing w:before="0" w:after="0" w:line="408" w:lineRule="exact"/>
        <w:ind w:left="0" w:right="0" w:firstLine="576"/>
        <w:jc w:val="left"/>
      </w:pPr>
      <w:r>
        <w:rPr/>
        <w:t xml:space="preserve">(c) Assisting the client with accessing services.</w:t>
      </w:r>
    </w:p>
    <w:p>
      <w:pPr>
        <w:spacing w:before="0" w:after="0" w:line="408" w:lineRule="exact"/>
        <w:ind w:left="0" w:right="0" w:firstLine="576"/>
        <w:jc w:val="left"/>
      </w:pPr>
      <w:r>
        <w:rPr/>
        <w:t xml:space="preserve">(2) In the event the caseload of those not receiving a paid service decreases to the point that there are additional case resource managers beyond the number required to maintain a caseload of five hundred clients for each case resource manager, the department shall transfer these additional case resource managers to provide other case management services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Beginning July 1, 2020, an eligible person is entitled to the medicaid state plan or waiver services provided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18</w:t>
      </w:r>
      <w:r>
        <w:rPr/>
        <w:t xml:space="preserve">.</w:t>
      </w:r>
      <w:r>
        <w:t xml:space="preserve">020</w:t>
      </w:r>
      <w:r>
        <w:rPr/>
        <w:t xml:space="preserve"> (Services provided if funds available) and 1988 c 176 s 601 are each repealed.</w:t>
      </w:r>
    </w:p>
    <w:p/>
    <w:p>
      <w:pPr>
        <w:jc w:val="center"/>
      </w:pPr>
      <w:r>
        <w:rPr>
          <w:b/>
        </w:rPr>
        <w:t>--- END ---</w:t>
      </w:r>
    </w:p>
    <w:sectPr>
      <w:pgNumType w:start="1"/>
      <w:footerReference xmlns:r="http://schemas.openxmlformats.org/officeDocument/2006/relationships" r:id="R6f67ad16109042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66679e81ed464e" /><Relationship Type="http://schemas.openxmlformats.org/officeDocument/2006/relationships/footer" Target="/word/footer1.xml" Id="R6f67ad16109042bb" /></Relationships>
</file>