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2e1b5349de4103" /></Relationships>
</file>

<file path=word/document.xml><?xml version="1.0" encoding="utf-8"?>
<w:document xmlns:w="http://schemas.openxmlformats.org/wordprocessingml/2006/main">
  <w:body>
    <w:p>
      <w:r>
        <w:t>H-3953.1</w:t>
      </w:r>
    </w:p>
    <w:p>
      <w:pPr>
        <w:jc w:val="center"/>
      </w:pPr>
      <w:r>
        <w:t>_______________________________________________</w:t>
      </w:r>
    </w:p>
    <w:p/>
    <w:p>
      <w:pPr>
        <w:jc w:val="center"/>
      </w:pPr>
      <w:r>
        <w:rPr>
          <w:b/>
        </w:rPr>
        <w:t>HOUSE BILL 2783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Griffey, Springer, and Walen</w:t>
      </w:r>
    </w:p>
    <w:p/>
    <w:p>
      <w:r>
        <w:rPr>
          <w:t xml:space="preserve">Read first time 01/22/20.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fire safety requirements for mobile on-demand gasoline providers;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Washington state building code council shall adopt and amend rules, as necessary, for the purpose of developing a statewide process and set of standards for approving mobile on-demand gasoline providers, as that term is defined in the 2018 international fire code, for the purpose of allowing mobile on-demand gasoline providers to provide service in any city or county within Washington. Section 5707.1.1 of the 2018 international fire code shall be amended by the council to provide for a statewide permit for qualifying mobile on-demand gasoline providers. All other requirements set forth in section 5707 of the 2018 international fire code shall remain in force.</w:t>
      </w:r>
    </w:p>
    <w:p>
      <w:pPr>
        <w:spacing w:before="0" w:after="0" w:line="408" w:lineRule="exact"/>
        <w:ind w:left="0" w:right="0" w:firstLine="576"/>
        <w:jc w:val="left"/>
      </w:pPr>
      <w:r>
        <w:rPr/>
        <w:t xml:space="preserve">(2) The process and set of standards to be developed by the Washington state building code shall only require mobile on-demand gasoline providers to obtain a permit for a particular mobile fueling vehicle in one city or county within Washington, and such vehicle permit shall have reciprocal effect and be recognized in any other Washington city and county. Local fire marshals shall maintain the authority to permit mobile fueling vehicles pursuant to section 5707 of the 2018 international fire code. Local fire marshals shall accept a valid mobile fueling vehicle permit from another Washington city or county as sufficient to issue a mobile fueling vehicle permit in the fire marshal's jurisdiction.</w:t>
      </w:r>
    </w:p>
    <w:p>
      <w:pPr>
        <w:spacing w:before="0" w:after="0" w:line="408" w:lineRule="exact"/>
        <w:ind w:left="0" w:right="0" w:firstLine="576"/>
        <w:jc w:val="left"/>
      </w:pPr>
      <w:r>
        <w:rPr/>
        <w:t xml:space="preserve">(3) The Washington state building code council shall develop a set of criteria creating a category of standard locations that do not present any atypical safety or environmental concerns wherein approved mobile on-demand gasoline providers can provide service to such a location without prior site approval, and a set of criteria creating a category of nonstandard locations that wherein approved mobile on-demand gasoline providers can provide service to a particular location only after local fire marshal approval due to the presence of an atypical safety or environmental concern, such as an injection or groundwater well, an above-ground storage tank containing a class I, II, or III hazardous material, or an electric vehicle charging station. Nothing in this section prevents a local fire marshal from having the authority to inspect a standard on-demand fueling location, to add additional requirements for said location, or to revoke permission to operate in a particular location for a specific safety or environmental reason.</w:t>
      </w:r>
    </w:p>
    <w:p>
      <w:pPr>
        <w:spacing w:before="0" w:after="0" w:line="408" w:lineRule="exact"/>
        <w:ind w:left="0" w:right="0" w:firstLine="576"/>
        <w:jc w:val="left"/>
      </w:pPr>
      <w:r>
        <w:rPr/>
        <w:t xml:space="preserve">(4) Except for the creation of a statewide permitting process, nothing in this section limits the authority of the local fire marshal to enforce this section or section 5707 of the 2018 international fire code. Any part of the 2018 international fire code that conflicts with this section is void.</w:t>
      </w:r>
    </w:p>
    <w:p/>
    <w:p>
      <w:pPr>
        <w:jc w:val="center"/>
      </w:pPr>
      <w:r>
        <w:rPr>
          <w:b/>
        </w:rPr>
        <w:t>--- END ---</w:t>
      </w:r>
    </w:p>
    <w:sectPr>
      <w:pgNumType w:start="1"/>
      <w:footerReference xmlns:r="http://schemas.openxmlformats.org/officeDocument/2006/relationships" r:id="Red53a138846043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6998882214815" /><Relationship Type="http://schemas.openxmlformats.org/officeDocument/2006/relationships/footer" Target="/word/footer1.xml" Id="Red53a13884604361" /></Relationships>
</file>