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c676a5bc4406d" /></Relationships>
</file>

<file path=word/document.xml><?xml version="1.0" encoding="utf-8"?>
<w:document xmlns:w="http://schemas.openxmlformats.org/wordprocessingml/2006/main">
  <w:body>
    <w:p>
      <w:r>
        <w:t>H-4168.1</w:t>
      </w:r>
    </w:p>
    <w:p>
      <w:pPr>
        <w:jc w:val="center"/>
      </w:pPr>
      <w:r>
        <w:t>_______________________________________________</w:t>
      </w:r>
    </w:p>
    <w:p/>
    <w:p>
      <w:pPr>
        <w:jc w:val="center"/>
      </w:pPr>
      <w:r>
        <w:rPr>
          <w:b/>
        </w:rPr>
        <w:t>HOUSE BILL 2850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Gildon, Ortiz-Self, Wylie, Pollet, Peterson, Gregerson, Fitzgibbon, Valdez, and Tarleton</w:t>
      </w:r>
    </w:p>
    <w:p/>
    <w:p>
      <w:r>
        <w:rPr>
          <w:t xml:space="preserve">Read first time 01/27/20.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archaeological and cultural sites by state and local governments and all recipients of state funding; amending RCW 27.53.090, 43.88.030, 43.63A.125, and 43.155.075; adding a new section to chapter 27.53 RCW; adding a new section to chapter 39.04 RCW; adding a new section to chapter 39.10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a rich and diverse cultural heritage, as represented by the numerous archaeological and cultural sites that have been identified and located throughout our state, and that preservation of these sites is of critical importance to the tribes whose lands and people live and travel in this territory that became the state of Washington. In addition, these important sites provide educational and cultural values and lead to a better understanding between cultures of the region. Many people in Washington contribute their time and efforts to preserve and protect unique archaeological sites and traditional cultural places, and these sites and places hold special cultural, historical, and spiritual significance. The legislature therefore intends to require recipients of state funds to consult with tribes before engaging in any groundbreaking activity that may impact such archaeological and cultural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Before the commencement of a project that is funded by the state, in whole or in part, that requires groundbreaking activity, the project must be reviewed by the department and interested federally recognized tribes to determine whether it may potentially impact archaeological and cultural sites. The review should be done as early in the project planning process as possible. As part of the review, the agency or organization leading the project must:</w:t>
      </w:r>
    </w:p>
    <w:p>
      <w:pPr>
        <w:spacing w:before="0" w:after="0" w:line="408" w:lineRule="exact"/>
        <w:ind w:left="0" w:right="0" w:firstLine="576"/>
        <w:jc w:val="left"/>
      </w:pPr>
      <w:r>
        <w:rPr/>
        <w:t xml:space="preserve">(a) Coordinate with the governor's office of Indian affairs and the department to notify the governing bodies of federally recognized tribes of the proposed groundbreaking activity;</w:t>
      </w:r>
    </w:p>
    <w:p>
      <w:pPr>
        <w:spacing w:before="0" w:after="0" w:line="408" w:lineRule="exact"/>
        <w:ind w:left="0" w:right="0" w:firstLine="576"/>
        <w:jc w:val="left"/>
      </w:pPr>
      <w:r>
        <w:rPr/>
        <w:t xml:space="preserve">(b) Consult with federally recognized tribes who have responded to the notification and expressed an interest in finding an agreed-upon means to protect archaeological and cultural sites. The consultation must occur before the project design is completed. If necessary, the department may assist in arranging a meeting to discuss the project;</w:t>
      </w:r>
    </w:p>
    <w:p>
      <w:pPr>
        <w:spacing w:before="0" w:after="0" w:line="408" w:lineRule="exact"/>
        <w:ind w:left="0" w:right="0" w:firstLine="576"/>
        <w:jc w:val="left"/>
      </w:pPr>
      <w:r>
        <w:rPr/>
        <w:t xml:space="preserve">(c) Work with the department and interested federally recognized tribes on an appropriate archaeological survey and develop strategies for the protection of archaeological and cultural sites consistent with state and federal laws and with those laws of the interested federally recognized tribes;</w:t>
      </w:r>
    </w:p>
    <w:p>
      <w:pPr>
        <w:spacing w:before="0" w:after="0" w:line="408" w:lineRule="exact"/>
        <w:ind w:left="0" w:right="0" w:firstLine="576"/>
        <w:jc w:val="left"/>
      </w:pPr>
      <w:r>
        <w:rPr/>
        <w:t xml:space="preserve">(d) Take reasonable action to avoid adverse impacts to the archaeological and cultural sites during the consultation process; and</w:t>
      </w:r>
    </w:p>
    <w:p>
      <w:pPr>
        <w:spacing w:before="0" w:after="0" w:line="408" w:lineRule="exact"/>
        <w:ind w:left="0" w:right="0" w:firstLine="576"/>
        <w:jc w:val="left"/>
      </w:pPr>
      <w:r>
        <w:rPr/>
        <w:t xml:space="preserve">(e) Notify the department and the governor's office of Indian affairs, by certified letter, of the progress of the review within thirty days of the first attempt to notify the governing bodies of federally recognized tribes of the proposed groundbreaking activity. The letter must:</w:t>
      </w:r>
    </w:p>
    <w:p>
      <w:pPr>
        <w:spacing w:before="0" w:after="0" w:line="408" w:lineRule="exact"/>
        <w:ind w:left="0" w:right="0" w:firstLine="576"/>
        <w:jc w:val="left"/>
      </w:pPr>
      <w:r>
        <w:rPr/>
        <w:t xml:space="preserve">(i) Indicate whether or not any interested federally recognized tribes responded to the notification;</w:t>
      </w:r>
    </w:p>
    <w:p>
      <w:pPr>
        <w:spacing w:before="0" w:after="0" w:line="408" w:lineRule="exact"/>
        <w:ind w:left="0" w:right="0" w:firstLine="576"/>
        <w:jc w:val="left"/>
      </w:pPr>
      <w:r>
        <w:rPr/>
        <w:t xml:space="preserve">(ii) Include what meetings have occurred under (b) of this subsection; and</w:t>
      </w:r>
    </w:p>
    <w:p>
      <w:pPr>
        <w:spacing w:before="0" w:after="0" w:line="408" w:lineRule="exact"/>
        <w:ind w:left="0" w:right="0" w:firstLine="576"/>
        <w:jc w:val="left"/>
      </w:pPr>
      <w:r>
        <w:rPr/>
        <w:t xml:space="preserve">(iii) Summarize the progress of the review, including whether or not an agreement on how to protect archaeological and cultural sites has been reached.</w:t>
      </w:r>
    </w:p>
    <w:p>
      <w:pPr>
        <w:spacing w:before="0" w:after="0" w:line="408" w:lineRule="exact"/>
        <w:ind w:left="0" w:right="0" w:firstLine="576"/>
        <w:jc w:val="left"/>
      </w:pPr>
      <w:r>
        <w:rPr/>
        <w:t xml:space="preserve">(2) This section does not apply to projects that are subject to federal review for protection of historic properties under section 106 of the national historic preservation act of 1966 (54 U.S.C. Sec. 306108).</w:t>
      </w:r>
    </w:p>
    <w:p>
      <w:pPr>
        <w:spacing w:before="0" w:after="0" w:line="408" w:lineRule="exact"/>
        <w:ind w:left="0" w:right="0" w:firstLine="576"/>
        <w:jc w:val="left"/>
      </w:pPr>
      <w:r>
        <w:rPr/>
        <w:t xml:space="preserve">(3) This section is not subject to the penalties outlined under RCW 27.53.090.</w:t>
      </w:r>
    </w:p>
    <w:p>
      <w:pPr>
        <w:spacing w:before="0" w:after="0" w:line="408" w:lineRule="exact"/>
        <w:ind w:left="0" w:right="0" w:firstLine="576"/>
        <w:jc w:val="left"/>
      </w:pPr>
      <w:r>
        <w:rPr/>
        <w:t xml:space="preserve">(4) State agencies must take steps to ensure that the requirements in this section are incorporated into their grant and loan management guidelines.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"Consult" means to engage in a discussion in a face-to-face meeting or another manner designated by the interested federally recognized tribe.</w:t>
      </w:r>
    </w:p>
    <w:p>
      <w:pPr>
        <w:spacing w:before="0" w:after="0" w:line="408" w:lineRule="exact"/>
        <w:ind w:left="0" w:right="0" w:firstLine="576"/>
        <w:jc w:val="left"/>
      </w:pPr>
      <w:r>
        <w:rPr/>
        <w:t xml:space="preserve">(b) "Cultural site" means a place of importance to an interested federally recognized tribe.</w:t>
      </w:r>
    </w:p>
    <w:p>
      <w:pPr>
        <w:spacing w:before="0" w:after="0" w:line="408" w:lineRule="exact"/>
        <w:ind w:left="0" w:right="0" w:firstLine="576"/>
        <w:jc w:val="left"/>
      </w:pPr>
      <w:r>
        <w:rPr/>
        <w:t xml:space="preserve">(c) "Groundbreaking activity" means any activity where the earth is disturbed.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53</w:t>
      </w:r>
      <w:r>
        <w:rPr/>
        <w:t xml:space="preserve">.</w:t>
      </w:r>
      <w:r>
        <w:t xml:space="preserve">090</w:t>
      </w:r>
      <w:r>
        <w:rPr/>
        <w:t xml:space="preserve"> and 1986 c 266 s 20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2 of this act, any</w:t>
      </w:r>
      <w:r>
        <w:rPr/>
        <w:t xml:space="preserve"> person, firm, or corporation violating any of the provisions of this chapter shall be guilty of a misdemeanor. Each day of continued violation of any provision of this chapter shall constitute a distinct and separate offense. Offenses shall be reported to the appropriate law enforcement agency or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w:t>
      </w:r>
      <w:r>
        <w:rPr>
          <w:u w:val="single"/>
        </w:rPr>
        <w:t xml:space="preserve">For any capital appropriation requested for a project that involves groundbreaking activity under section 2 of this act, verification that the project has complied with the provisions set forth in that section;</w:t>
      </w:r>
    </w:p>
    <w:p>
      <w:pPr>
        <w:spacing w:before="0" w:after="0" w:line="408" w:lineRule="exact"/>
        <w:ind w:left="0" w:right="0" w:firstLine="576"/>
        <w:jc w:val="left"/>
      </w:pPr>
      <w:r>
        <w:rPr>
          <w:u w:val="single"/>
        </w:rPr>
        <w:t xml:space="preserve">(r)</w:t>
      </w:r>
      <w:r>
        <w:rPr/>
        <w:t xml:space="preserve"> Such other information bearing upon capital projects as the governor deems to be useful;</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Standard terms, including a standard and uniform definition of normal maintenance, for all capital projects;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2019 c 413 s 7030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w:t>
      </w:r>
      <w:r>
        <w:t>((</w:t>
      </w:r>
      <w:r>
        <w:rPr>
          <w:strike/>
        </w:rPr>
        <w:t xml:space="preserve">and</w:t>
      </w:r>
      <w:r>
        <w:t>))</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r>
        <w:rPr>
          <w:u w:val="single"/>
        </w:rPr>
        <w:t xml:space="preserve">; and</w:t>
      </w:r>
    </w:p>
    <w:p>
      <w:pPr>
        <w:spacing w:before="0" w:after="0" w:line="408" w:lineRule="exact"/>
        <w:ind w:left="0" w:right="0" w:firstLine="576"/>
        <w:jc w:val="left"/>
      </w:pPr>
      <w:r>
        <w:rPr>
          <w:u w:val="single"/>
        </w:rPr>
        <w:t xml:space="preserve">(xi) Has complied with section 2 of this act</w:t>
      </w:r>
      <w:r>
        <w:rPr/>
        <w:t xml:space="preserve">.</w:t>
      </w:r>
    </w:p>
    <w:p>
      <w:pPr>
        <w:spacing w:before="0" w:after="0" w:line="408" w:lineRule="exact"/>
        <w:ind w:left="0" w:right="0" w:firstLine="576"/>
        <w:jc w:val="left"/>
      </w:pPr>
      <w:r>
        <w:rPr/>
        <w:t xml:space="preserve">(c) The evaluation and ranking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However, during the 2019-2021 biennium, the legislature may waive the match required for the projects specified in section 1009, chapter 413, Laws of 2019. 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2017 3rd sp.s. c 10 s 10 are each amended to read as follows:</w:t>
      </w:r>
    </w:p>
    <w:p>
      <w:pPr>
        <w:spacing w:before="0" w:after="0" w:line="408" w:lineRule="exact"/>
        <w:ind w:left="0" w:right="0" w:firstLine="576"/>
        <w:jc w:val="left"/>
      </w:pPr>
      <w:r>
        <w:rPr/>
        <w:t xml:space="preserve">In providing loans and grants for public works projects, the board shall require recipients to incorporate the environmental benefits of the project into their applications, and the board shall utilize the statement of environmental benefits in its prioritization and selection process, when applicable. </w:t>
      </w:r>
      <w:r>
        <w:rPr>
          <w:u w:val="single"/>
        </w:rPr>
        <w:t xml:space="preserve">The board shall also require recipients to comply with section 2 of this act.</w:t>
      </w:r>
      <w:r>
        <w:rPr/>
        <w:t xml:space="preserve"> 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 The board shall also develop appropriate outcome-focused performance measures to be used both for management and performance assessment of the loan and grant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All contracts entered into under this chapter by the state on or after the effective date of this section are subject to the requirements established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All contracts entered into under this chapter on or after the effective date of this section are subject to the requirements established under section 2 of this act.</w:t>
      </w:r>
    </w:p>
    <w:p/>
    <w:p>
      <w:pPr>
        <w:jc w:val="center"/>
      </w:pPr>
      <w:r>
        <w:rPr>
          <w:b/>
        </w:rPr>
        <w:t>--- END ---</w:t>
      </w:r>
    </w:p>
    <w:sectPr>
      <w:pgNumType w:start="1"/>
      <w:footerReference xmlns:r="http://schemas.openxmlformats.org/officeDocument/2006/relationships" r:id="R2f3d0efd35fe4f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0c811e1fb4869" /><Relationship Type="http://schemas.openxmlformats.org/officeDocument/2006/relationships/footer" Target="/word/footer1.xml" Id="R2f3d0efd35fe4fa9" /></Relationships>
</file>