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479c55c244127" /></Relationships>
</file>

<file path=word/document.xml><?xml version="1.0" encoding="utf-8"?>
<w:document xmlns:w="http://schemas.openxmlformats.org/wordprocessingml/2006/main">
  <w:body>
    <w:p>
      <w:r>
        <w:t>H-4041.1</w:t>
      </w:r>
    </w:p>
    <w:p>
      <w:pPr>
        <w:jc w:val="center"/>
      </w:pPr>
      <w:r>
        <w:t>_______________________________________________</w:t>
      </w:r>
    </w:p>
    <w:p/>
    <w:p>
      <w:pPr>
        <w:jc w:val="center"/>
      </w:pPr>
      <w:r>
        <w:rPr>
          <w:b/>
        </w:rPr>
        <w:t>HOUSE BILL 2853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Harris and Santos</w:t>
      </w:r>
    </w:p>
    <w:p/>
    <w:p>
      <w:r>
        <w:rPr>
          <w:t xml:space="preserve">Read first time 01/27/20.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effective and efficient administration of the Washington state charter school commission; amending RCW 28A.710.050, 28A.710.070, 28A.710.250, and 28A.710.160; and repealing RCW 28A.710.900.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2016 c 241 s 105 are each amended to read as follows:</w:t>
      </w:r>
    </w:p>
    <w:p>
      <w:pPr>
        <w:spacing w:before="0" w:after="0" w:line="408" w:lineRule="exact"/>
        <w:ind w:left="0" w:right="0" w:firstLine="576"/>
        <w:jc w:val="left"/>
      </w:pPr>
      <w:r>
        <w:rPr/>
        <w:t xml:space="preserve">(1) Except as provided in subsection (3) of this section, a charter school may not limit admission on any basis other than age group, grade level, or enrollment capacity.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If capacity is insufficient to enroll all students who apply to a charter school, the charter school must grant an enrollment preference to siblings of enrolled students, with any remaining enrollments allocated through a lottery. A charter school may offer, pursuant to an admissions policy approved by the </w:t>
      </w:r>
      <w:r>
        <w:t>((</w:t>
      </w:r>
      <w:r>
        <w:rPr>
          <w:strike/>
        </w:rPr>
        <w:t xml:space="preserve">commission</w:t>
      </w:r>
      <w:r>
        <w:t>))</w:t>
      </w:r>
      <w:r>
        <w:rPr/>
        <w:t xml:space="preserve"> </w:t>
      </w:r>
      <w:r>
        <w:rPr>
          <w:u w:val="single"/>
        </w:rPr>
        <w:t xml:space="preserve">authorizer</w:t>
      </w:r>
      <w:r>
        <w:rPr/>
        <w:t xml:space="preserve">, a weighted enrollment preference for at-risk students or to children of full-time employees of the school if the employees' children reside within the state.</w:t>
      </w:r>
    </w:p>
    <w:p>
      <w:pPr>
        <w:spacing w:before="0" w:after="0" w:line="408" w:lineRule="exact"/>
        <w:ind w:left="0" w:right="0" w:firstLine="576"/>
        <w:jc w:val="left"/>
      </w:pPr>
      <w:r>
        <w:rPr/>
        <w:t xml:space="preserve">(4) The enrollment capacity of a charter school must be determined annually by the charter school board in consultation with the </w:t>
      </w:r>
      <w:r>
        <w:t>((</w:t>
      </w:r>
      <w:r>
        <w:rPr>
          <w:strike/>
        </w:rPr>
        <w:t xml:space="preserve">charter</w:t>
      </w:r>
      <w:r>
        <w:t>))</w:t>
      </w:r>
      <w:r>
        <w:rPr/>
        <w:t xml:space="preserve">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(5)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2016 c 241 s 107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authorize high quality charter public schools throughout the state, especially schools that are designed to expand opportunities for at-risk students, and to ensure the highest standards of accountability and oversight for these schools.</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w:t>
      </w:r>
      <w:r>
        <w:rPr>
          <w:u w:val="single"/>
        </w:rPr>
        <w:t xml:space="preserve">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u w:val="single"/>
        </w:rPr>
        <w:t xml:space="preserve">(9)</w:t>
      </w:r>
      <w:r>
        <w:rPr/>
        <w:t xml:space="preserve"> The commission shall reside within the office of the superintendent of public instruction for administrative purposes only.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2016 c 241 s 125 are each amended to read as follows:</w:t>
      </w:r>
    </w:p>
    <w:p>
      <w:pPr>
        <w:spacing w:before="0" w:after="0" w:line="408" w:lineRule="exact"/>
        <w:ind w:left="0" w:right="0" w:firstLine="576"/>
        <w:jc w:val="left"/>
      </w:pPr>
      <w:r>
        <w:rPr/>
        <w:t xml:space="preserve">(1) By </w:t>
      </w:r>
      <w:r>
        <w:t>((</w:t>
      </w:r>
      <w:r>
        <w:rPr>
          <w:strike/>
        </w:rPr>
        <w:t xml:space="preserve">December</w:t>
      </w:r>
      <w:r>
        <w:t>))</w:t>
      </w:r>
      <w:r>
        <w:rPr/>
        <w:t xml:space="preserve"> </w:t>
      </w:r>
      <w:r>
        <w:rPr>
          <w:u w:val="single"/>
        </w:rPr>
        <w:t xml:space="preserve">March</w:t>
      </w:r>
      <w:r>
        <w:rPr/>
        <w:t xml:space="preserve"> 1st of each year beginning in the first year after there have been charter schools operating for a full school year, the state board of education, in collaboration with the commission, must issue a report on the performance of the state's charter schools during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state board of education. The report must include a comparison of the performance of charter school students with the performance of academically, ethnically, and economically comparable groups of students in other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2016 c 241 s 116 are each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 and to demonstrate and provide the authorizer with a clear basis for evaluating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 The contract must establish the terms by which the charter school agrees to provide educational services that, at a minimum, meet basic education standards, in return for a distribution of public funds that will be used for the purposes established in the contract and in this and other applicable statutes. The charter contract must clearly set forth the academic and operational performance expectations and measures by which the charter school will be evaluated and the administrative relationship between the authorizer and charter school, including each party's rights and duties. The performance expectations and measures set forth in the charter contract must include, but need not be limited to,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If the charter school is authorized by a school district board of directors, the charter contract must be signed by the president of the applicable school district board of directors and the president of the charter school board. If the charter school is authorized by the commission, the charter contract must be signed by the chair of the commission and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contract extension depending on the school's circumstances.</w:t>
      </w:r>
    </w:p>
    <w:p>
      <w:pPr>
        <w:spacing w:before="0" w:after="0" w:line="408" w:lineRule="exact"/>
        <w:ind w:left="0" w:right="0" w:firstLine="576"/>
        <w:jc w:val="left"/>
      </w:pPr>
      <w:r>
        <w:rPr/>
        <w:t xml:space="preserve">(6) Authorizers shall establish reasonable preopening requirements or conditions to monitor the start-up progress of newly approved charter schools, ensure that they are prepared to open smoothly on the date agreed, and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t>((</w:t>
      </w:r>
      <w:r>
        <w:rPr>
          <w:strike/>
        </w:rPr>
        <w:t xml:space="preserve">(8) In accordance with RCW 28A.710.900(3):</w:t>
      </w:r>
    </w:p>
    <w:p>
      <w:pPr>
        <w:spacing w:before="0" w:after="0" w:line="408" w:lineRule="exact"/>
        <w:ind w:left="0" w:right="0" w:firstLine="576"/>
        <w:jc w:val="left"/>
      </w:pPr>
      <w:r>
        <w:rPr>
          <w:strik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strik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strik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strike/>
        </w:rPr>
        <w:t xml:space="preserve">(10) For purposes of this section, "substantially the same terms and duration" includes contract modifications necessary to comply with the provisions of this chapter or other applicable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900</w:t>
      </w:r>
      <w:r>
        <w:rPr/>
        <w:t xml:space="preserve"> (Application of chapter 241, Laws of 2016</w:t>
      </w:r>
      <w:r>
        <w:rPr>
          <w:rFonts w:ascii="Times New Roman" w:hAnsi="Times New Roman"/>
        </w:rPr>
        <w:t xml:space="preserve">—</w:t>
      </w:r>
      <w:r>
        <w:rPr/>
        <w:t xml:space="preserve">Contracts for charter schools established before April 3, 2016) and 2016 c 241 s 140 are each repealed.</w:t>
      </w:r>
    </w:p>
    <w:p/>
    <w:p>
      <w:pPr>
        <w:jc w:val="center"/>
      </w:pPr>
      <w:r>
        <w:rPr>
          <w:b/>
        </w:rPr>
        <w:t>--- END ---</w:t>
      </w:r>
    </w:p>
    <w:sectPr>
      <w:pgNumType w:start="1"/>
      <w:footerReference xmlns:r="http://schemas.openxmlformats.org/officeDocument/2006/relationships" r:id="R2e8a07257c8445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d2cbb8f344d32" /><Relationship Type="http://schemas.openxmlformats.org/officeDocument/2006/relationships/footer" Target="/word/footer1.xml" Id="R2e8a07257c844535" /></Relationships>
</file>