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261530d12f4fd1" /></Relationships>
</file>

<file path=word/document.xml><?xml version="1.0" encoding="utf-8"?>
<w:document xmlns:w="http://schemas.openxmlformats.org/wordprocessingml/2006/main">
  <w:body>
    <w:p>
      <w:r>
        <w:t>H-3587.1</w:t>
      </w:r>
    </w:p>
    <w:p>
      <w:pPr>
        <w:jc w:val="center"/>
      </w:pPr>
      <w:r>
        <w:t>_______________________________________________</w:t>
      </w:r>
    </w:p>
    <w:p/>
    <w:p>
      <w:pPr>
        <w:jc w:val="center"/>
      </w:pPr>
      <w:r>
        <w:rPr>
          <w:b/>
        </w:rPr>
        <w:t>HOUSE BILL 2857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Orcutt</w:t>
      </w:r>
    </w:p>
    <w:p/>
    <w:p>
      <w:r>
        <w:rPr>
          <w:t xml:space="preserve">Read first time 01/27/20.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state balanced budget requirement and outlook process; amending RCW 43.88.055 and 82.33.060; and reenacting and amending RCW 82.33.020.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w:t>
      </w:r>
      <w:r>
        <w:rPr>
          <w:u w:val="single"/>
        </w:rPr>
        <w:t xml:space="preserve">:</w:t>
      </w:r>
    </w:p>
    <w:p>
      <w:pPr>
        <w:spacing w:before="0" w:after="0" w:line="408" w:lineRule="exact"/>
        <w:ind w:left="0" w:right="0" w:firstLine="576"/>
        <w:jc w:val="left"/>
      </w:pPr>
      <w:r>
        <w:rPr>
          <w:u w:val="single"/>
        </w:rPr>
        <w:t xml:space="preserve">(i) Collectively</w:t>
      </w:r>
      <w:r>
        <w:rPr/>
        <w:t xml:space="preserve"> in the general fund and related funds</w:t>
      </w:r>
      <w:r>
        <w:rPr>
          <w:u w:val="single"/>
        </w:rPr>
        <w:t xml:space="preserve">; and</w:t>
      </w:r>
    </w:p>
    <w:p>
      <w:pPr>
        <w:spacing w:before="0" w:after="0" w:line="408" w:lineRule="exact"/>
        <w:ind w:left="0" w:right="0" w:firstLine="576"/>
        <w:jc w:val="left"/>
      </w:pPr>
      <w:r>
        <w:rPr>
          <w:u w:val="single"/>
        </w:rPr>
        <w:t xml:space="preserve">(ii) Separately and respectively in the other funds subject to the four-year balanced budget requirement</w:t>
      </w:r>
      <w:r>
        <w:rPr/>
        <w:t xml:space="preserve">.</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u w:val="single"/>
        </w:rPr>
        <w:t xml:space="preserve">(c) Beginning in the 2021-2023 fiscal biennium, for other funds subject to the four-year balanced budget requirement, the projected maintenance level of the omnibus operating appropriations bill enacted by the legislature shall not exceed the respective available fiscal resources for those funds.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w:t>
      </w:r>
      <w:r>
        <w:t>((</w:t>
      </w:r>
      <w:r>
        <w:rPr>
          <w:strike/>
        </w:rPr>
        <w:t xml:space="preserve">general fund and related</w:t>
      </w:r>
      <w:r>
        <w:t>))</w:t>
      </w:r>
      <w:r>
        <w:rPr/>
        <w:t xml:space="preserve"> fund balances and any fiscal resources estimated for the </w:t>
      </w:r>
      <w:r>
        <w:t>((</w:t>
      </w:r>
      <w:r>
        <w:rPr>
          <w:strike/>
        </w:rPr>
        <w:t xml:space="preserve">general fund and related</w:t>
      </w:r>
      <w:r>
        <w:t>))</w:t>
      </w:r>
      <w:r>
        <w:rPr/>
        <w:t xml:space="preserve"> </w:t>
      </w:r>
      <w:r>
        <w:rPr>
          <w:u w:val="single"/>
        </w:rPr>
        <w:t xml:space="preserve">respective fund or group of</w:t>
      </w:r>
      <w:r>
        <w:rPr/>
        <w:t xml:space="preserve"> funds, adjusted for enacted legislation, and with forecasted revenues adjusted to the greater of (i) the official </w:t>
      </w:r>
      <w:r>
        <w:t>((</w:t>
      </w:r>
      <w:r>
        <w:rPr>
          <w:strike/>
        </w:rPr>
        <w:t xml:space="preserve">general fund and related funds</w:t>
      </w:r>
      <w:r>
        <w:t>))</w:t>
      </w:r>
      <w:r>
        <w:rPr/>
        <w:t xml:space="preserve"> revenue forecast for the ensuing biennium, or (ii) </w:t>
      </w:r>
      <w:r>
        <w:rPr>
          <w:u w:val="single"/>
        </w:rPr>
        <w:t xml:space="preserve">for the general fund and related funds only,</w:t>
      </w:r>
      <w:r>
        <w:rPr/>
        <w:t xml:space="preserve"> the official general fund and related funds forecast for the second fiscal year of the current fiscal biennium, increased by 4.5 percent for each fiscal year of the ensuing biennium</w:t>
      </w:r>
      <w:r>
        <w:t>((</w:t>
      </w:r>
      <w:r>
        <w:rPr>
          <w:strike/>
        </w:rPr>
        <w:t xml:space="preserve">;</w:t>
      </w:r>
      <w:r>
        <w:t>))</w:t>
      </w:r>
      <w:r>
        <w:rPr>
          <w:u w:val="single"/>
        </w:rPr>
        <w:t xml:space="preserve">.</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w:t>
      </w:r>
      <w:r>
        <w:rPr>
          <w:u w:val="single"/>
        </w:rPr>
        <w:t xml:space="preserve">for the respective fund or group of funds</w:t>
      </w:r>
      <w:r>
        <w:rPr/>
        <w:t xml:space="preserve">, and </w:t>
      </w:r>
      <w:r>
        <w:rPr>
          <w:u w:val="single"/>
        </w:rPr>
        <w:t xml:space="preserve">for the general fund also includes</w:t>
      </w:r>
      <w:r>
        <w:rPr/>
        <w:t xml:space="preserve"> the amount of any general fund moneys projected to be transferred to the budget stabilization account pursuant to Article VII, section 12 of the state Constitution</w:t>
      </w:r>
      <w:r>
        <w:t>((</w:t>
      </w:r>
      <w:r>
        <w:rPr>
          <w:strike/>
        </w:rPr>
        <w:t xml:space="preserve">,</w:t>
      </w:r>
      <w:r>
        <w:rPr>
          <w:strike/>
        </w:rPr>
        <w:t xml:space="preserve"> 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rPr>
          <w:strike/>
        </w:rPr>
        <w:t xml:space="preserve">;</w:t>
      </w:r>
      <w:r>
        <w:t>))</w:t>
      </w:r>
      <w:r>
        <w:rPr>
          <w:u w:val="single"/>
        </w:rPr>
        <w:t xml:space="preserve">.</w:t>
      </w:r>
    </w:p>
    <w:p>
      <w:pPr>
        <w:spacing w:before="0" w:after="0" w:line="408" w:lineRule="exact"/>
        <w:ind w:left="0" w:right="0" w:firstLine="576"/>
        <w:jc w:val="left"/>
      </w:pPr>
      <w:r>
        <w:rPr/>
        <w:t xml:space="preserve">(c) "Related funds," as used in this section, means the Washington opportunity pathways account and the education legacy trust account </w:t>
      </w:r>
      <w:r>
        <w:rPr>
          <w:u w:val="single"/>
        </w:rPr>
        <w:t xml:space="preserve">through June 30, 2021, and thereafter means the Washington opportunity pathways account, the education legacy trust account, the pension stabilization account, the dedicated marijuana account, and the basic health account</w:t>
      </w:r>
      <w:r>
        <w:rPr/>
        <w:t xml:space="preserve">.</w:t>
      </w:r>
    </w:p>
    <w:p>
      <w:pPr>
        <w:spacing w:before="0" w:after="0" w:line="408" w:lineRule="exact"/>
        <w:ind w:left="0" w:right="0" w:firstLine="576"/>
        <w:jc w:val="left"/>
      </w:pPr>
      <w:r>
        <w:rPr>
          <w:u w:val="single"/>
        </w:rPr>
        <w:t xml:space="preserve">(d) "Other funds subject to the four-year balanced budget requirement" means the workforce education investment account and the model toxics control operating account, separately and respectively.</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w:t>
      </w:r>
      <w:r>
        <w:rPr>
          <w:u w:val="single"/>
        </w:rPr>
        <w:t xml:space="preserve">under Article VII, section 12(d) (i) or (ii) of the state Constitution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shall prepare, subject to the approval of the economic and revenue forecast council under RCW 82.33.010, an official state budget outlook </w:t>
      </w:r>
      <w:r>
        <w:t>((</w:t>
      </w:r>
      <w:r>
        <w:rPr>
          <w:strike/>
        </w:rPr>
        <w:t xml:space="preserve">for state revenues and expenditures for the general fund and related funds</w:t>
      </w:r>
      <w:r>
        <w:t>))</w:t>
      </w:r>
      <w:r>
        <w:rPr/>
        <w:t xml:space="preserve">. In odd</w:t>
      </w:r>
      <w:r>
        <w:rPr/>
        <w:noBreakHyphen/>
      </w:r>
      <w:r>
        <w:rPr/>
        <w:t xml:space="preserve">numbered years, the period covered by the November state budget outlook shall be the current fiscal biennium and the next ensuing fiscal biennium. In even</w:t>
      </w:r>
      <w:r>
        <w:rPr/>
        <w:noBreakHyphen/>
      </w:r>
      <w:r>
        <w:rPr/>
        <w:t xml:space="preserve">numbered years, the period covered by the November state budget outlook shall be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 </w:t>
      </w:r>
      <w:r>
        <w:rPr>
          <w:u w:val="single"/>
        </w:rPr>
        <w:t xml:space="preserve">The outlook must contain the following: (a) An outlook for state revenues and expenditures in the general fund and related funds as defined in RCW 43.88.055; (b) separate outlooks for other funds subject to the four-year balanced budget requirement as defined in RCW 43.88.055; and (c) an illustrative summary outlook that totals projected expenditures and available fiscal resources for all of these funds.</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w:t>
      </w:r>
      <w:r>
        <w:t>((</w:t>
      </w:r>
      <w:r>
        <w:rPr>
          <w:strike/>
        </w:rPr>
        <w:t xml:space="preserve">state general fund and related</w:t>
      </w:r>
      <w:r>
        <w:t>))</w:t>
      </w:r>
      <w:r>
        <w:rPr/>
        <w:t xml:space="preserve"> </w:t>
      </w:r>
      <w:r>
        <w:rPr>
          <w:u w:val="single"/>
        </w:rPr>
        <w:t xml:space="preserve">respective</w:t>
      </w:r>
      <w:r>
        <w:rPr/>
        <w:t xml:space="preserve"> funds </w:t>
      </w:r>
      <w:r>
        <w:rPr>
          <w:u w:val="single"/>
        </w:rPr>
        <w:t xml:space="preserve">or groups of funds as designated in RCW 43.88.055 and subsection (1) of this section</w:t>
      </w:r>
      <w:r>
        <w:rPr/>
        <w:t xml:space="preserve">.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2012 1st sp.s. c 8 s 3, and 2012 c 182 s 1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 </w:t>
      </w:r>
      <w:r>
        <w:rPr>
          <w:u w:val="single"/>
        </w:rPr>
        <w:t xml:space="preserve">for all funds subject to the outlook process in RCW 82.33.060</w:t>
      </w:r>
      <w:r>
        <w:rPr/>
        <w:t xml:space="preserve">;</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In fiscal year 2015, the March 20th forecast shall be submitted on or before February 20, 2015. All forecasts must include both estimated receipts and estimated revenues in conformance with generally accepted accounting principles as provided by RCW 43.88.037. In odd-numbered years, the period covered by forecasts for the state general fund and </w:t>
      </w:r>
      <w:r>
        <w:t>((</w:t>
      </w:r>
      <w:r>
        <w:rPr>
          <w:strike/>
        </w:rPr>
        <w:t xml:space="preserve">related</w:t>
      </w:r>
      <w:r>
        <w:t>))</w:t>
      </w:r>
      <w:r>
        <w:rPr/>
        <w:t xml:space="preserve"> funds </w:t>
      </w:r>
      <w:r>
        <w:rPr>
          <w:u w:val="single"/>
        </w:rPr>
        <w:t xml:space="preserve">subject to the outlook process in RCW 82.33.060</w:t>
      </w:r>
      <w:r>
        <w:rPr/>
        <w:t xml:space="preserve"> must cover the current fiscal biennium and the next ensuing fiscal biennium. In even-numbered years, the period covered by the forecasts for the state general fund and </w:t>
      </w:r>
      <w:r>
        <w:t>((</w:t>
      </w:r>
      <w:r>
        <w:rPr>
          <w:strike/>
        </w:rPr>
        <w:t xml:space="preserve">related</w:t>
      </w:r>
      <w:r>
        <w:t>))</w:t>
      </w:r>
      <w:r>
        <w:rPr/>
        <w:t xml:space="preserve"> funds </w:t>
      </w:r>
      <w:r>
        <w:rPr>
          <w:u w:val="single"/>
        </w:rPr>
        <w:t xml:space="preserve">subject to the outlook process in RCW 82.33.060</w:t>
      </w:r>
      <w:r>
        <w:rPr/>
        <w:t xml:space="preserve"> shall be current fiscal and the next two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w:t>
      </w:r>
      <w:r>
        <w:rPr>
          <w:u w:val="single"/>
        </w:rPr>
        <w:t xml:space="preserve">The review must consider revenue growth history by the funds subject to the outlook process in RCW 82.33.060, adjusting for changes due to legislation, and it must make recommendations on the accuracy of revenue growth rate assumptions in RCW 43.88.055(2)(a).</w:t>
      </w:r>
      <w:r>
        <w:rPr/>
        <w:t xml:space="preserve"> The recommendations are due by September 30, 2012, and every five years thereafter.</w:t>
      </w:r>
    </w:p>
    <w:p/>
    <w:p>
      <w:pPr>
        <w:jc w:val="center"/>
      </w:pPr>
      <w:r>
        <w:rPr>
          <w:b/>
        </w:rPr>
        <w:t>--- END ---</w:t>
      </w:r>
    </w:p>
    <w:sectPr>
      <w:pgNumType w:start="1"/>
      <w:footerReference xmlns:r="http://schemas.openxmlformats.org/officeDocument/2006/relationships" r:id="Rdc3fb44b2fab44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5024ffa3144c5d" /><Relationship Type="http://schemas.openxmlformats.org/officeDocument/2006/relationships/footer" Target="/word/footer1.xml" Id="Rdc3fb44b2fab44ab" /></Relationships>
</file>