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a8a167108435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2896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Santos, and Morgan</w:t>
      </w:r>
    </w:p>
    <w:p/>
    <w:p>
      <w:r>
        <w:rPr>
          <w:t xml:space="preserve">Read first time 01/29/20.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surplus property for public benefit; and amending RCW 43.63A.510 and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w:t>
      </w:r>
      <w:r>
        <w:t>((</w:t>
      </w:r>
      <w:r>
        <w:rPr>
          <w:strike/>
        </w:rPr>
        <w:t xml:space="preserve">November 1st</w:t>
      </w:r>
      <w:r>
        <w:t>))</w:t>
      </w:r>
      <w:r>
        <w:rPr/>
        <w:t xml:space="preserve"> </w:t>
      </w:r>
      <w:r>
        <w:rPr>
          <w:u w:val="single"/>
        </w:rPr>
        <w:t xml:space="preserve">April 1, 2021, and then by April 1st</w:t>
      </w:r>
      <w:r>
        <w:rPr/>
        <w:t xml:space="preserve">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w:t>
      </w:r>
      <w:r>
        <w:t>((</w:t>
      </w:r>
      <w:r>
        <w:rPr>
          <w:strike/>
        </w:rPr>
        <w:t xml:space="preserve">and</w:t>
      </w:r>
      <w:r>
        <w:t>))</w:t>
      </w:r>
      <w:r>
        <w:rPr/>
        <w:t xml:space="preserve"> current zoning classification of the property</w:t>
      </w:r>
      <w:r>
        <w:rPr>
          <w:u w:val="single"/>
        </w:rPr>
        <w:t xml:space="preserve">, and other appropriate criteria</w:t>
      </w:r>
      <w:r>
        <w:rPr/>
        <w:t xml:space="preserve">.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w:t>
      </w:r>
      <w:r>
        <w:rPr>
          <w:u w:val="single"/>
        </w:rPr>
        <w:t xml:space="preserve">The department shall annually publish the inventory of state-owned and publicly owned lands and buildings and the inventory received pursuant to RCW 47.12.064 on its web site. Upon written request, the department shall provide notice of publication of the inventories to parties interested in developing the sites for affordable housing.</w:t>
      </w:r>
    </w:p>
    <w:p>
      <w:pPr>
        <w:spacing w:before="0" w:after="0" w:line="408" w:lineRule="exact"/>
        <w:ind w:left="0" w:right="0" w:firstLine="576"/>
        <w:jc w:val="left"/>
      </w:pP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w:t>
      </w:r>
      <w:r>
        <w:t>((</w:t>
      </w:r>
      <w:r>
        <w:rPr>
          <w:strike/>
        </w:rPr>
        <w:t xml:space="preserve">must</w:t>
      </w:r>
      <w:r>
        <w:t>))</w:t>
      </w:r>
      <w:r>
        <w:rPr/>
        <w:t xml:space="preserve"> </w:t>
      </w:r>
      <w:r>
        <w:rPr>
          <w:u w:val="single"/>
        </w:rPr>
        <w:t xml:space="preserve">may</w:t>
      </w:r>
      <w:r>
        <w:rPr/>
        <w:t xml:space="preserve">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w:t>
      </w:r>
      <w:r>
        <w:rPr>
          <w:u w:val="single"/>
        </w:rPr>
        <w:t xml:space="preserve">for a minimum period of time as determined by the entity transferring or conveying the property</w:t>
      </w:r>
      <w:r>
        <w:rPr/>
        <w:t xml:space="preserv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 </w:t>
      </w:r>
      <w:r>
        <w:rPr>
          <w:u w:val="single"/>
        </w:rPr>
        <w:t xml:space="preserve">for the required minimum period of time</w:t>
      </w:r>
      <w:r>
        <w:rPr/>
        <w:t xml:space="preserv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w:t>
      </w:r>
      <w:r>
        <w:rPr>
          <w:u w:val="single"/>
        </w:rPr>
        <w:t xml:space="preserve">The transfer, lease, or other disposal of surplus municipal utility property at less than true and full value or at no cost for public benefit purposes shall be deemed a lawful tax imposed by a city or town specifically for public benefit as defined in this section and shall not be subject to the provisions of or limitations imposed under RCW 35.21.865 and 35.21.870.</w:t>
      </w:r>
    </w:p>
    <w:p>
      <w:pPr>
        <w:spacing w:before="0" w:after="0" w:line="408" w:lineRule="exact"/>
        <w:ind w:left="0" w:right="0" w:firstLine="576"/>
        <w:jc w:val="left"/>
      </w:pPr>
      <w:r>
        <w:rPr>
          <w:u w:val="single"/>
        </w:rPr>
        <w:t xml:space="preserve">(8)</w:t>
      </w:r>
      <w:r>
        <w:rPr/>
        <w:t xml:space="preserve">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(9)(a) Each city with a population of greater than five hundred thousand located in a county with a population of greater than one million five hundred thousand that transfers, leases, or otherwise disposes of surplus public property for a public benefit purpose pursuant to this section must submit a biennial report to the relevant committees of the legislature containing information regarding each property that was transferred, leased, or otherwise disposed of. The report must contain the following information:</w:t>
      </w:r>
    </w:p>
    <w:p>
      <w:pPr>
        <w:spacing w:before="0" w:after="0" w:line="408" w:lineRule="exact"/>
        <w:ind w:left="0" w:right="0" w:firstLine="576"/>
        <w:jc w:val="left"/>
      </w:pPr>
      <w:r>
        <w:rPr>
          <w:u w:val="single"/>
        </w:rPr>
        <w:t xml:space="preserve">(i) A list identifying each property that was transferred, leased, or disposed of pursuant to this section and each entity that received the property; and</w:t>
      </w:r>
    </w:p>
    <w:p>
      <w:pPr>
        <w:spacing w:before="0" w:after="0" w:line="408" w:lineRule="exact"/>
        <w:ind w:left="0" w:right="0" w:firstLine="576"/>
        <w:jc w:val="left"/>
      </w:pPr>
      <w:r>
        <w:rPr>
          <w:u w:val="single"/>
        </w:rPr>
        <w:t xml:space="preserve">(ii) The number of units of affordable housing that were developed on each property that was transferred, leased, or disposed of pursuant to this section.</w:t>
      </w:r>
    </w:p>
    <w:p>
      <w:pPr>
        <w:spacing w:before="0" w:after="0" w:line="408" w:lineRule="exact"/>
        <w:ind w:left="0" w:right="0" w:firstLine="576"/>
        <w:jc w:val="left"/>
      </w:pPr>
      <w:r>
        <w:rPr>
          <w:u w:val="single"/>
        </w:rPr>
        <w:t xml:space="preserve">(b) The first report required by (a) of this subsection must be submitted by January 1, 2022. Subsequent reports must be submitted every two years thereafter.</w:t>
      </w:r>
    </w:p>
    <w:p>
      <w:pPr>
        <w:spacing w:before="0" w:after="0" w:line="408" w:lineRule="exact"/>
        <w:ind w:left="0" w:right="0" w:firstLine="576"/>
        <w:jc w:val="left"/>
      </w:pPr>
      <w:r>
        <w:rPr>
          <w:u w:val="single"/>
        </w:rPr>
        <w:t xml:space="preserve">(10)</w:t>
      </w:r>
      <w:r>
        <w:rPr/>
        <w:t xml:space="preserve">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w:t>
      </w:r>
      <w:r>
        <w:rPr>
          <w:u w:val="single"/>
        </w:rPr>
        <w:t xml:space="preserve">or uses</w:t>
      </w:r>
      <w:r>
        <w:rPr/>
        <w:t xml:space="preserve"> that </w:t>
      </w:r>
      <w:r>
        <w:t>((</w:t>
      </w:r>
      <w:r>
        <w:rPr>
          <w:strike/>
        </w:rPr>
        <w:t xml:space="preserve">support</w:t>
      </w:r>
      <w:r>
        <w:t>))</w:t>
      </w:r>
      <w:r>
        <w:rPr>
          <w:u w:val="single"/>
        </w:rPr>
        <w:t xml:space="preserve">: (i) Support</w:t>
      </w:r>
      <w:r>
        <w:rPr/>
        <w:t xml:space="preserve"> the goals of affordable housing development in providing economic and social stability for low-income persons</w:t>
      </w:r>
      <w:r>
        <w:rPr>
          <w:u w:val="single"/>
        </w:rPr>
        <w:t xml:space="preserve">; (ii) subsidize or reduce the cost of affordable housing development; or (iii) are required by local development regulations</w:t>
      </w:r>
      <w:r>
        <w:rPr/>
        <w:t xml:space="preserve">;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194e936c6cd843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61f81d67b4cd1" /><Relationship Type="http://schemas.openxmlformats.org/officeDocument/2006/relationships/footer" Target="/word/footer1.xml" Id="R194e936c6cd8437a" /></Relationships>
</file>