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d69ef7b6d4ca9" /></Relationships>
</file>

<file path=word/document.xml><?xml version="1.0" encoding="utf-8"?>
<w:document xmlns:w="http://schemas.openxmlformats.org/wordprocessingml/2006/main">
  <w:body>
    <w:p>
      <w:r>
        <w:t>H-3988.1</w:t>
      </w:r>
    </w:p>
    <w:p>
      <w:pPr>
        <w:jc w:val="center"/>
      </w:pPr>
      <w:r>
        <w:t>_______________________________________________</w:t>
      </w:r>
    </w:p>
    <w:p/>
    <w:p>
      <w:pPr>
        <w:jc w:val="center"/>
      </w:pPr>
      <w:r>
        <w:rPr>
          <w:b/>
        </w:rPr>
        <w:t>HOUSE BILL 2914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Fey and Chapman</w:t>
      </w:r>
    </w:p>
    <w:p/>
    <w:p>
      <w:r>
        <w:rPr>
          <w:t xml:space="preserve">Read first time 01/31/20.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adding new sections to chapter 47.10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fish barrier removal projects that are identified as necessary to comply with a federal court injunction, there shall be issued and sold upon the request of the department a total of three billion nine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as appropriate, the state finance committee shall supervise and provide for the issuance, sale, and retirement of the bonds in chapter 45, Laws of 2015 3rd sp. sess. in accordance with chapter 39.42 RCW. Bonds authorized by chapter 45, Laws of 2015 3rd sp. sess.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fuel imposed by chapter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fuel and vehicle-related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fish barrier removal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fuel and vehicle-related fees, and that is distributed to the fish barrier removal account in the motor vehicle fund.</w:t>
      </w:r>
    </w:p>
    <w:p>
      <w:pPr>
        <w:spacing w:before="0" w:after="0" w:line="408" w:lineRule="exact"/>
        <w:ind w:left="0" w:right="0" w:firstLine="576"/>
        <w:jc w:val="left"/>
      </w:pPr>
      <w:r>
        <w:rPr/>
        <w:t xml:space="preserve">(b) Funds required shall never constitute a charge against any other allocations of fuel tax and vehicle-related fee revenues to the state, counties, cities, and towns unless the amount arising from excise taxes on fuel and vehicle-related fees distributed to the fish barrier removal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fuel taxes and vehicle-related fees that are distributable to the state, counties, cities, and towns shall be repaid from the first revenues from the fuel taxes and vehicle-related fees distributed to the fish barrier removal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fuel excise taxes and vehicle-related fees for the payment of principal and interest thereon shall be an equal charge against the revenues from such fuel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f8355c5b0ba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bf8c0cedf24aa8" /><Relationship Type="http://schemas.openxmlformats.org/officeDocument/2006/relationships/footer" Target="/word/footer1.xml" Id="R5f8355c5b0ba4edb" /></Relationships>
</file>