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448bad1748440c" /></Relationships>
</file>

<file path=word/document.xml><?xml version="1.0" encoding="utf-8"?>
<w:document xmlns:w="http://schemas.openxmlformats.org/wordprocessingml/2006/main">
  <w:body>
    <w:p>
      <w:r>
        <w:t>H-5043.3</w:t>
      </w:r>
    </w:p>
    <w:p>
      <w:pPr>
        <w:jc w:val="center"/>
      </w:pPr>
      <w:r>
        <w:t>_______________________________________________</w:t>
      </w:r>
    </w:p>
    <w:p/>
    <w:p>
      <w:pPr>
        <w:jc w:val="center"/>
      </w:pPr>
      <w:r>
        <w:rPr>
          <w:b/>
        </w:rPr>
        <w:t>HOUSE BILL 2950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and Ramel</w:t>
      </w:r>
    </w:p>
    <w:p/>
    <w:p>
      <w:r>
        <w:rPr>
          <w:t xml:space="preserve">Read first time 02/24/20.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affordable housing needs through the multifamily housing tax exemption by providing an extension of the exemption until January 1, 2022, for certain properties currently receiving a twelve-year exemption and by convening a work group; amending RCW 84.14.020 and 84.14.100;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2, chapter . . ., Laws of 2020 (section 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local governments and multifamily housing owners to maintain or expand existing income-restricted unit stock that have been incentivized through the tax exemption provided under chapter 84.14 RCW.</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twelve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tax preferences in section 2, chapter . . ., Laws of 2020 (section 2 of this act), if a review finds that the stock of income-restricted units in the state is preserved as a result of the extensions provided in RCW 84.14.020(1)(c).</w:t>
      </w:r>
    </w:p>
    <w:p>
      <w:pPr>
        <w:spacing w:before="0" w:after="0" w:line="408" w:lineRule="exact"/>
        <w:ind w:left="0" w:right="0" w:firstLine="576"/>
        <w:jc w:val="left"/>
      </w:pPr>
      <w:r>
        <w:rPr/>
        <w:t xml:space="preserve">(6) In order to obtain the data necessary to perform the review in subsection (5)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u w:val="single"/>
        </w:rPr>
        <w:t xml:space="preserve">(c) For properties receiving an exemption as provided in (a)(ii)(B) of this subsection where the certificate of tax exemption is set to expire after the effective date of this section but before January 1, 2022, the exemption is extended until January 1, 2022, provided that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new or rehabilitated housing cost shall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December 31st of each year, beginning in 2007,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income of each renter household at the time of initial occupancy and the income of each initial purchaser of owner</w:t>
      </w:r>
      <w:r>
        <w:rPr/>
        <w:noBreakHyphen/>
      </w:r>
      <w:r>
        <w:rPr/>
        <w:t xml:space="preserve">occupied units at the time of purchase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The department of commerce must convene, and provide staff support to, a work group to study and make recommendations on the multifamily property tax exemption.</w:t>
      </w:r>
    </w:p>
    <w:p>
      <w:pPr>
        <w:spacing w:before="0" w:after="0" w:line="408" w:lineRule="exact"/>
        <w:ind w:left="0" w:right="0" w:firstLine="576"/>
        <w:jc w:val="left"/>
      </w:pPr>
      <w:r>
        <w:rPr>
          <w:u w:val="single"/>
        </w:rPr>
        <w:t xml:space="preserve">(a) The work group membership must consist of:</w:t>
      </w:r>
    </w:p>
    <w:p>
      <w:pPr>
        <w:spacing w:before="0" w:after="0" w:line="408" w:lineRule="exact"/>
        <w:ind w:left="0" w:right="0" w:firstLine="576"/>
        <w:jc w:val="left"/>
      </w:pPr>
      <w:r>
        <w:rPr>
          <w:u w:val="single"/>
        </w:rPr>
        <w:t xml:space="preserve">(i) One representative from the department of commerce;</w:t>
      </w:r>
    </w:p>
    <w:p>
      <w:pPr>
        <w:spacing w:before="0" w:after="0" w:line="408" w:lineRule="exact"/>
        <w:ind w:left="0" w:right="0" w:firstLine="576"/>
        <w:jc w:val="left"/>
      </w:pPr>
      <w:r>
        <w:rPr>
          <w:u w:val="single"/>
        </w:rPr>
        <w:t xml:space="preserve">(ii) One representative from the department of revenue;</w:t>
      </w:r>
    </w:p>
    <w:p>
      <w:pPr>
        <w:spacing w:before="0" w:after="0" w:line="408" w:lineRule="exact"/>
        <w:ind w:left="0" w:right="0" w:firstLine="576"/>
        <w:jc w:val="left"/>
      </w:pPr>
      <w:r>
        <w:rPr>
          <w:u w:val="single"/>
        </w:rPr>
        <w:t xml:space="preserve">(iii) One representative from the Washington state housing finance commission;</w:t>
      </w:r>
    </w:p>
    <w:p>
      <w:pPr>
        <w:spacing w:before="0" w:after="0" w:line="408" w:lineRule="exact"/>
        <w:ind w:left="0" w:right="0" w:firstLine="576"/>
        <w:jc w:val="left"/>
      </w:pPr>
      <w:r>
        <w:rPr>
          <w:u w:val="single"/>
        </w:rPr>
        <w:t xml:space="preserve">(iv) One representative from the association of Washington cities;</w:t>
      </w:r>
    </w:p>
    <w:p>
      <w:pPr>
        <w:spacing w:before="0" w:after="0" w:line="408" w:lineRule="exact"/>
        <w:ind w:left="0" w:right="0" w:firstLine="576"/>
        <w:jc w:val="left"/>
      </w:pPr>
      <w:r>
        <w:rPr>
          <w:u w:val="single"/>
        </w:rPr>
        <w:t xml:space="preserve">(v) One representative from the Washington state association of counties;</w:t>
      </w:r>
    </w:p>
    <w:p>
      <w:pPr>
        <w:spacing w:before="0" w:after="0" w:line="408" w:lineRule="exact"/>
        <w:ind w:left="0" w:right="0" w:firstLine="576"/>
        <w:jc w:val="left"/>
      </w:pPr>
      <w:r>
        <w:rPr>
          <w:u w:val="single"/>
        </w:rPr>
        <w:t xml:space="preserve">(vi) One representative from the Washington low income housing alliance;</w:t>
      </w:r>
    </w:p>
    <w:p>
      <w:pPr>
        <w:spacing w:before="0" w:after="0" w:line="408" w:lineRule="exact"/>
        <w:ind w:left="0" w:right="0" w:firstLine="576"/>
        <w:jc w:val="left"/>
      </w:pPr>
      <w:r>
        <w:rPr>
          <w:u w:val="single"/>
        </w:rPr>
        <w:t xml:space="preserve">(vii) One representative from the building industry association of Washington; and</w:t>
      </w:r>
    </w:p>
    <w:p>
      <w:pPr>
        <w:spacing w:before="0" w:after="0" w:line="408" w:lineRule="exact"/>
        <w:ind w:left="0" w:right="0" w:firstLine="576"/>
        <w:jc w:val="left"/>
      </w:pPr>
      <w:r>
        <w:rPr>
          <w:u w:val="single"/>
        </w:rPr>
        <w:t xml:space="preserve">(viii) One representative from a Washington association of realtors.</w:t>
      </w:r>
    </w:p>
    <w:p>
      <w:pPr>
        <w:spacing w:before="0" w:after="0" w:line="408" w:lineRule="exact"/>
        <w:ind w:left="0" w:right="0" w:firstLine="576"/>
        <w:jc w:val="left"/>
      </w:pPr>
      <w:r>
        <w:rPr>
          <w:u w:val="single"/>
        </w:rPr>
        <w:t xml:space="preserve">(b) By December 1, 2020, the work group must submit a report to the appropriate committees of the legislature and the joint legislative audit and review committee. The report must:</w:t>
      </w:r>
    </w:p>
    <w:p>
      <w:pPr>
        <w:spacing w:before="0" w:after="0" w:line="408" w:lineRule="exact"/>
        <w:ind w:left="0" w:right="0" w:firstLine="576"/>
        <w:jc w:val="left"/>
      </w:pPr>
      <w:r>
        <w:rPr>
          <w:u w:val="single"/>
        </w:rPr>
        <w:t xml:space="preserve">(i) Identify any ambiguities in this chapter;</w:t>
      </w:r>
    </w:p>
    <w:p>
      <w:pPr>
        <w:spacing w:before="0" w:after="0" w:line="408" w:lineRule="exact"/>
        <w:ind w:left="0" w:right="0" w:firstLine="576"/>
        <w:jc w:val="left"/>
      </w:pPr>
      <w:r>
        <w:rPr>
          <w:u w:val="single"/>
        </w:rPr>
        <w:t xml:space="preserve">(ii) Provide an analysis of which ambiguities can be resolved through guidance and which require statutory changes;</w:t>
      </w:r>
    </w:p>
    <w:p>
      <w:pPr>
        <w:spacing w:before="0" w:after="0" w:line="408" w:lineRule="exact"/>
        <w:ind w:left="0" w:right="0" w:firstLine="576"/>
        <w:jc w:val="left"/>
      </w:pPr>
      <w:r>
        <w:rPr>
          <w:u w:val="single"/>
        </w:rPr>
        <w:t xml:space="preserve">(iii) Recommend changes to the exemption that would likely increase the supply of affordable housing, including ways to mitigate utility connection fees; and</w:t>
      </w:r>
    </w:p>
    <w:p>
      <w:pPr>
        <w:spacing w:before="0" w:after="0" w:line="408" w:lineRule="exact"/>
        <w:ind w:left="0" w:right="0" w:firstLine="576"/>
        <w:jc w:val="left"/>
      </w:pPr>
      <w:r>
        <w:rPr>
          <w:u w:val="single"/>
        </w:rPr>
        <w:t xml:space="preserve">(iv) Examine whether tenants living in affordable units created under this chapter are experiencing increases in rent due to increases in city median income that significantly outpace the tenants' income, and provide recommendations on how to address this problem.</w:t>
      </w:r>
    </w:p>
    <w:p/>
    <w:p>
      <w:pPr>
        <w:jc w:val="center"/>
      </w:pPr>
      <w:r>
        <w:rPr>
          <w:b/>
        </w:rPr>
        <w:t>--- END ---</w:t>
      </w:r>
    </w:p>
    <w:sectPr>
      <w:pgNumType w:start="1"/>
      <w:footerReference xmlns:r="http://schemas.openxmlformats.org/officeDocument/2006/relationships" r:id="R3c935bdda99f4f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ab3ba185b4411c" /><Relationship Type="http://schemas.openxmlformats.org/officeDocument/2006/relationships/footer" Target="/word/footer1.xml" Id="R3c935bdda99f4ff1" /></Relationships>
</file>