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6e4eaf46a64d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Eslick and Stanford</w:t>
      </w:r>
    </w:p>
    <w:p/>
    <w:p>
      <w:r>
        <w:rPr>
          <w:t xml:space="preserve">Prefiled 12/05/18.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qualifications of members composing the county road administration board; and amending RCW 36.78.040.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78</w:t>
      </w:r>
      <w:r>
        <w:rPr/>
        <w:t xml:space="preserve">.</w:t>
      </w:r>
      <w:r>
        <w:t xml:space="preserve">040</w:t>
      </w:r>
      <w:r>
        <w:rPr/>
        <w:t xml:space="preserve"> and 2005 c 233 s 1 are each amended to read as follows:</w:t>
      </w:r>
    </w:p>
    <w:p>
      <w:pPr>
        <w:spacing w:before="0" w:after="0" w:line="408" w:lineRule="exact"/>
        <w:ind w:left="0" w:right="0" w:firstLine="576"/>
        <w:jc w:val="left"/>
      </w:pPr>
      <w:r>
        <w:rPr/>
        <w:t xml:space="preserve">Six members of the county road administration board shall be county legislative authority members and three members shall be county engineers. If any member, during the term for which he or she is appointed</w:t>
      </w:r>
      <w:r>
        <w:rPr>
          <w:u w:val="single"/>
        </w:rPr>
        <w:t xml:space="preserve">,</w:t>
      </w:r>
      <w:r>
        <w:rPr/>
        <w:t xml:space="preserve"> ceases to be either a member of a county legislative authority or a county engineer, as the case may be, his or her membership on the county road administration board is likewise terminated. Three members of the board shall be from counties with a population of one hundred </w:t>
      </w:r>
      <w:r>
        <w:t>((</w:t>
      </w:r>
      <w:r>
        <w:rPr>
          <w:strike/>
        </w:rPr>
        <w:t xml:space="preserve">twenty-five</w:t>
      </w:r>
      <w:r>
        <w:t>))</w:t>
      </w:r>
      <w:r>
        <w:rPr/>
        <w:t xml:space="preserve"> </w:t>
      </w:r>
      <w:r>
        <w:rPr>
          <w:u w:val="single"/>
        </w:rPr>
        <w:t xml:space="preserve">fifty</w:t>
      </w:r>
      <w:r>
        <w:rPr/>
        <w:t xml:space="preserve"> thousand or more. Four members shall be from counties with a population of from </w:t>
      </w:r>
      <w:r>
        <w:t>((</w:t>
      </w:r>
      <w:r>
        <w:rPr>
          <w:strike/>
        </w:rPr>
        <w:t xml:space="preserve">twenty</w:t>
      </w:r>
      <w:r>
        <w:t>))</w:t>
      </w:r>
      <w:r>
        <w:rPr/>
        <w:t xml:space="preserve"> </w:t>
      </w:r>
      <w:r>
        <w:rPr>
          <w:u w:val="single"/>
        </w:rPr>
        <w:t xml:space="preserve">thirty</w:t>
      </w:r>
      <w:r>
        <w:rPr/>
        <w:t xml:space="preserve"> thousand to less than one hundred </w:t>
      </w:r>
      <w:r>
        <w:t>((</w:t>
      </w:r>
      <w:r>
        <w:rPr>
          <w:strike/>
        </w:rPr>
        <w:t xml:space="preserve">twenty-five</w:t>
      </w:r>
      <w:r>
        <w:t>))</w:t>
      </w:r>
      <w:r>
        <w:rPr/>
        <w:t xml:space="preserve"> </w:t>
      </w:r>
      <w:r>
        <w:rPr>
          <w:u w:val="single"/>
        </w:rPr>
        <w:t xml:space="preserve">fifty</w:t>
      </w:r>
      <w:r>
        <w:rPr/>
        <w:t xml:space="preserve"> thousand. Two members shall be from counties with a population of less than </w:t>
      </w:r>
      <w:r>
        <w:t>((</w:t>
      </w:r>
      <w:r>
        <w:rPr>
          <w:strike/>
        </w:rPr>
        <w:t xml:space="preserve">twenty</w:t>
      </w:r>
      <w:r>
        <w:t>))</w:t>
      </w:r>
      <w:r>
        <w:rPr/>
        <w:t xml:space="preserve"> </w:t>
      </w:r>
      <w:r>
        <w:rPr>
          <w:u w:val="single"/>
        </w:rPr>
        <w:t xml:space="preserve">thirty</w:t>
      </w:r>
      <w:r>
        <w:rPr/>
        <w:t xml:space="preserve"> thousand. Not more than one member of the board shall be from any one county.</w:t>
      </w:r>
    </w:p>
    <w:p/>
    <w:p>
      <w:pPr>
        <w:jc w:val="center"/>
      </w:pPr>
      <w:r>
        <w:rPr>
          <w:b/>
        </w:rPr>
        <w:t>--- END ---</w:t>
      </w:r>
    </w:p>
    <w:sectPr>
      <w:pgNumType w:start="1"/>
      <w:footerReference xmlns:r="http://schemas.openxmlformats.org/officeDocument/2006/relationships" r:id="Rae9b5e2d6cb24e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ff2acde8a434e" /><Relationship Type="http://schemas.openxmlformats.org/officeDocument/2006/relationships/footer" Target="/word/footer1.xml" Id="Rae9b5e2d6cb24e25" /></Relationships>
</file>