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575b208be4b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70</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1155</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Appleton, Sells, Chapman, Fitzgibbon, Cody, Pellicciotti, Frame, Sullivan, Wylie, Jinkins, Orwall, Valdez, Ortiz-Self, Stonier, Thai, Lovick, Reeves, Doglio, Pollet, Bergquist, Santos, Macri, Goodman, Robinson, and Stanford)</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adding a new section to chapter 49.12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t xml:space="preserve">(A) Without the knowledge, specific skill, or ability of the employee on break; or</w:t>
      </w:r>
    </w:p>
    <w:p>
      <w:pPr>
        <w:spacing w:before="0" w:after="0" w:line="408" w:lineRule="exact"/>
        <w:ind w:left="0" w:right="0" w:firstLine="576"/>
        <w:jc w:val="left"/>
      </w:pPr>
      <w:r>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 except that the following hospitals are excluded until July 1, 2021:</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twenty-five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either:</w:t>
      </w:r>
    </w:p>
    <w:p>
      <w:pPr>
        <w:spacing w:before="0" w:after="0" w:line="408" w:lineRule="exact"/>
        <w:ind w:left="0" w:right="0" w:firstLine="576"/>
        <w:jc w:val="left"/>
      </w:pPr>
      <w:r>
        <w:rPr>
          <w:u w:val="single"/>
        </w:rPr>
        <w:t xml:space="preserve">(A) A licensed practical nurse or registered nurse licensed under chapter 18.79 RCW; or</w:t>
      </w:r>
    </w:p>
    <w:p>
      <w:pPr>
        <w:spacing w:before="0" w:after="0" w:line="408" w:lineRule="exact"/>
        <w:ind w:left="0" w:right="0" w:firstLine="576"/>
        <w:jc w:val="left"/>
      </w:pPr>
      <w:r>
        <w:rPr>
          <w:u w:val="singl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rPr>
          <w:u w:val="single"/>
        </w:rPr>
        <w:t xml:space="preserve">, except that until July 1, 2021, the provisions of section 3, chapter . . ., Laws of 2019 (section 3 of this act) do not apply to:</w:t>
      </w:r>
    </w:p>
    <w:p>
      <w:pPr>
        <w:spacing w:before="0" w:after="0" w:line="408" w:lineRule="exact"/>
        <w:ind w:left="0" w:right="0" w:firstLine="576"/>
        <w:jc w:val="left"/>
      </w:pPr>
      <w:r>
        <w:rPr>
          <w:u w:val="single"/>
        </w:rPr>
        <w:t xml:space="preserve">(A) Hospitals certified as critical access hospitals under 42 U.S.C. Sec. 1395i-4;</w:t>
      </w:r>
    </w:p>
    <w:p>
      <w:pPr>
        <w:spacing w:before="0" w:after="0" w:line="408" w:lineRule="exact"/>
        <w:ind w:left="0" w:right="0" w:firstLine="576"/>
        <w:jc w:val="left"/>
      </w:pPr>
      <w:r>
        <w:rPr>
          <w:u w:val="single"/>
        </w:rPr>
        <w:t xml:space="preserve">(B) Hospitals with fewer than twenty-five acute care beds in operation; and</w:t>
      </w:r>
    </w:p>
    <w:p>
      <w:pPr>
        <w:spacing w:before="0" w:after="0" w:line="408" w:lineRule="exact"/>
        <w:ind w:left="0" w:right="0" w:firstLine="576"/>
        <w:jc w:val="left"/>
      </w:pPr>
      <w:r>
        <w:rPr>
          <w:u w:val="singl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w:t>
      </w:r>
      <w:r>
        <w:rPr>
          <w:u w:val="single"/>
        </w:rPr>
        <w:t xml:space="preserve">, subject to the following:</w:t>
      </w:r>
    </w:p>
    <w:p>
      <w:pPr>
        <w:spacing w:before="0" w:after="0" w:line="408" w:lineRule="exact"/>
        <w:ind w:left="0" w:right="0" w:firstLine="576"/>
        <w:jc w:val="left"/>
      </w:pPr>
      <w:r>
        <w:rPr>
          <w:u w:val="single"/>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u w:val="single"/>
        </w:rPr>
        <w:t xml:space="preserve">(ii) Mandatory prescheduled on-call time may not be used to address regular changes in patient census or acuity or expected increases in the number of employees not reporting for predetermined scheduled shifts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u w:val="single"/>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9cdf6dc08a94a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c24f42df743de" /><Relationship Type="http://schemas.openxmlformats.org/officeDocument/2006/relationships/footer" Target="/word/footer1.xml" Id="R59cdf6dc08a94aff" /></Relationships>
</file>