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66e22a7a348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1224</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Macri, Ryu, Peterson, Frame, Tharinger, Bergquist, Gregerson, Jinkins, Ortiz-Self, Lovick, Doglio, Stanford, Appleton, Slatter,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taking into account only price increases that take effect after the effective date of this section,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"Health care provider," "health plan," "health carrier," and "carrier" mean the same as in RCW 48.43.005.</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"Pharmacy services administrative organization" means an entity that contracts with a pharmacy to act as the pharmacy's agent with respect to matters involving a pharmacy benefit manager, third-party payor, or other entities, including negotiating, executing, or administering contracts with the pharmacy benefit manager, third-party payor, or other entities and provides administrative services to pharmacies.</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(1) By March 1st of each year,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19.340.100(3).</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COMPLIANCE.</w:t>
      </w:r>
      <w:r>
        <w:t xml:space="preserve">  </w:t>
      </w:r>
      <w:r>
        <w:rPr/>
        <w:t xml:space="preserve">(1) No later than March 1st of each calendar year, each pharmacy benefit manager must file with the authority, in the form and detail as required by the authority, a report for the preceding calendar year stating that the pharmacy benefit manager is in compliance with this chapter.</w:t>
      </w:r>
    </w:p>
    <w:p>
      <w:pPr>
        <w:spacing w:before="0" w:after="0" w:line="408" w:lineRule="exact"/>
        <w:ind w:left="0" w:right="0" w:firstLine="576"/>
        <w:jc w:val="left"/>
      </w:pPr>
      <w:r>
        <w:rPr/>
        <w:t xml:space="preserve">(2) A pharmacy benefit manager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the effective date of this section, or a biosimilar approved under section 351(k) of the federal public health service act, as it existed on the effective date of this section, if submitting data in accordance with subsection (5)(a) of this section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PRICE INCREASES.</w:t>
      </w:r>
      <w:r>
        <w:t xml:space="preserve">  </w:t>
      </w:r>
      <w:r>
        <w:rPr/>
        <w:t xml:space="preserve">(1) Beginning October 1, 2019, a manufacturer of a covered drug must notify the authority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(a)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(b)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(2)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(3) The information submitted pursuant to this section is not subject to public disclosure under chapter 42.56 RCW.</w:t>
      </w:r>
    </w:p>
    <w:p>
      <w:pPr>
        <w:spacing w:before="0" w:after="0" w:line="408" w:lineRule="exact"/>
        <w:ind w:left="0" w:right="0" w:firstLine="576"/>
        <w:jc w:val="left"/>
      </w:pPr>
      <w:r>
        <w:rPr/>
        <w:t xml:space="preserve">(4) By December 1, 2020, the authority must provide recommendations on how to provide advance notice of price increases to purchasers consistent with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sections 3 through 9 of this act.</w:t>
      </w:r>
    </w:p>
    <w:p>
      <w:pPr>
        <w:spacing w:before="0" w:after="0" w:line="408" w:lineRule="exact"/>
        <w:ind w:left="0" w:right="0" w:firstLine="576"/>
        <w:jc w:val="left"/>
      </w:pPr>
      <w:r>
        <w:rPr/>
        <w:t xml:space="preserve">(5) For purposes of public policy, upon request of a legislator, the authority must provide all data provided pursuant to sections 3 through 9 of this act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The data collected pursuant to this chapter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9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11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a1132a85d0649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fd187d875248ea" /><Relationship Type="http://schemas.openxmlformats.org/officeDocument/2006/relationships/footer" Target="/word/footer1.xml" Id="Rca1132a85d064908" /></Relationships>
</file>