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534c9926f49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MacEwen and Stanford; by request of Liquor and Cannabis Board)</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enforcement system modernization project account; amending RCW 66.08.260;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66.08.2601 and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t>
      </w:r>
      <w:r>
        <w:t>((</w:t>
      </w:r>
      <w:r>
        <w:rPr>
          <w:strike/>
        </w:rPr>
        <w:t xml:space="preserve">June 30, 2019</w:t>
      </w:r>
      <w:r>
        <w:t>))</w:t>
      </w:r>
      <w:r>
        <w:rPr/>
        <w:t xml:space="preserve"> </w:t>
      </w:r>
      <w:r>
        <w:rPr>
          <w:u w:val="single"/>
        </w:rPr>
        <w:t xml:space="preserve">September 1, 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2019.</w:t>
      </w:r>
    </w:p>
    <w:p/>
    <w:p>
      <w:pPr>
        <w:jc w:val="center"/>
      </w:pPr>
      <w:r>
        <w:rPr>
          <w:b/>
        </w:rPr>
        <w:t>--- END ---</w:t>
      </w:r>
    </w:p>
    <w:sectPr>
      <w:pgNumType w:start="1"/>
      <w:footerReference xmlns:r="http://schemas.openxmlformats.org/officeDocument/2006/relationships" r:id="Rfaa7648f1554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d2c461c224ac8" /><Relationship Type="http://schemas.openxmlformats.org/officeDocument/2006/relationships/footer" Target="/word/footer1.xml" Id="Rfaa7648f15544a1c" /></Relationships>
</file>