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91f75399b49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1578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59</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32</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Peterson, Doglio, Fitzgibbon, Shewmake, Robinson, Slatter, Valdez, Bergquist, Morris, Stanford, Tharinger, Cody, Jinkins, Kloba, Pollet, Frame, Davis, and Macri;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both articulated tug barges and towed waterborne vessels or barges that are: (I) Designed to transport oil in bulk internal to the hull; and (II)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(B) do not apply to a towed general cargo deck barge; and (C) may be adjusted or suspended by rule by the board of pilotage commissioners, consistent with section 3(1)(c)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"Towed general cargo deck barge" means a waterborne vessel or barge designed to carry cargo on deck.</w:t>
      </w:r>
    </w:p>
    <w:p>
      <w:pPr>
        <w:spacing w:before="0" w:after="0" w:line="408" w:lineRule="exact"/>
        <w:ind w:left="0" w:right="0" w:firstLine="576"/>
        <w:jc w:val="left"/>
      </w:pPr>
      <w:r>
        <w:rPr>
          <w:u w:val="single"/>
        </w:rPr>
        <w:t xml:space="preserve">(d)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Both articulated tug barges and towed waterborne vessels or barges that are: (A) Designed to transport oil in bulk internal to the hull; and (B) greater than five thousand deadweight tons.</w:t>
      </w:r>
    </w:p>
    <w:p>
      <w:pPr>
        <w:spacing w:before="0" w:after="0" w:line="408" w:lineRule="exact"/>
        <w:ind w:left="0" w:right="0" w:firstLine="576"/>
        <w:jc w:val="left"/>
      </w:pPr>
      <w:r>
        <w:rPr/>
        <w:t xml:space="preserve">(b) The requirements of this section do not apply to:</w:t>
      </w:r>
    </w:p>
    <w:p>
      <w:pPr>
        <w:spacing w:before="0" w:after="0" w:line="408" w:lineRule="exact"/>
        <w:ind w:left="0" w:right="0" w:firstLine="576"/>
        <w:jc w:val="left"/>
      </w:pPr>
      <w:r>
        <w:rPr/>
        <w:t xml:space="preserve">(i) A towed general cargo deck barge; or</w:t>
      </w:r>
    </w:p>
    <w:p>
      <w:pPr>
        <w:spacing w:before="0" w:after="0" w:line="408" w:lineRule="exact"/>
        <w:ind w:left="0" w:right="0" w:firstLine="576"/>
        <w:jc w:val="left"/>
      </w:pPr>
      <w:r>
        <w:rPr/>
        <w:t xml:space="preserve">(ii) A vessel providing bunkering or refueling services.</w:t>
      </w:r>
    </w:p>
    <w:p>
      <w:pPr>
        <w:spacing w:before="0" w:after="0" w:line="408" w:lineRule="exact"/>
        <w:ind w:left="0" w:right="0" w:firstLine="576"/>
        <w:jc w:val="left"/>
      </w:pPr>
      <w:r>
        <w:rPr/>
        <w:t xml:space="preserve">(c)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or suspend those requirements based on expertise developed under subsection (5) of this section.</w:t>
      </w:r>
    </w:p>
    <w:p>
      <w:pPr>
        <w:spacing w:before="0" w:after="0" w:line="408" w:lineRule="exact"/>
        <w:ind w:left="0" w:right="0" w:firstLine="576"/>
        <w:jc w:val="left"/>
      </w:pPr>
      <w:r>
        <w:rPr/>
        <w:t xml:space="preserve">(d)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w:t>
      </w:r>
    </w:p>
    <w:p>
      <w:pPr>
        <w:spacing w:before="0" w:after="0" w:line="408" w:lineRule="exact"/>
        <w:ind w:left="0" w:right="0" w:firstLine="576"/>
        <w:jc w:val="left"/>
      </w:pPr>
      <w:r>
        <w:rPr/>
        <w:t xml:space="preserve">(ii) By December 31, 2021, complete a synopsis of changing vessel traffic trends; and</w:t>
      </w:r>
    </w:p>
    <w:p>
      <w:pPr>
        <w:spacing w:before="0" w:after="0" w:line="408" w:lineRule="exact"/>
        <w:ind w:left="0" w:right="0" w:firstLine="576"/>
        <w:jc w:val="left"/>
      </w:pPr>
      <w:r>
        <w:rPr/>
        <w:t xml:space="preserve">(iii) By September 1, 2023, consult with potentially affected federally recognized Indian treaty fishing tribes, other federally recognized treaty tribes with potentially affected interests,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from potentially affected federally recognized Indian treaty fishing tribes, other federally recognized treaty tribes with potentially affected interests,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w:t>
      </w:r>
    </w:p>
    <w:p>
      <w:pPr>
        <w:spacing w:before="0" w:after="0" w:line="408" w:lineRule="exact"/>
        <w:ind w:left="0" w:right="0" w:firstLine="576"/>
        <w:jc w:val="left"/>
      </w:pPr>
      <w:r>
        <w:rPr/>
        <w:t xml:space="preserve">(d) Changing vessel traffic trends, including the synopsis required under subsection (1)(d)(ii) of this section;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Base decisions for risk protection on geographic zones in the waters specified in subsection (1)(c)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in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 and information submitted by tribes.</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scenarios and subsets of oil tankers, articulated tug barges, and towed waterborne vessels or barges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 subject to each of the requirements of this section.</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treaty fishing tribes, other federally recognized treaty tribes with potentially affected interests,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"Towed general cargo deck barge" means a waterborne vessel or barge designed to carry cargo on deck.</w:t>
      </w:r>
    </w:p>
    <w:p>
      <w:pPr>
        <w:spacing w:before="0" w:after="0" w:line="408" w:lineRule="exact"/>
        <w:ind w:left="0" w:right="0" w:firstLine="576"/>
        <w:jc w:val="left"/>
      </w:pPr>
      <w:r>
        <w:rPr/>
        <w:t xml:space="preserve">(d)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treaty fishing tribes, other federally recognized treaty tribes with potentially affected interests,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treaty fishing tribes, other federally recognized treaty tribes with potentially affected interests,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board of pilotage commissioners determines that updates are merited to the rules, the board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each potentially affected federally recognized Indian treaty fishing tribe, other federally recognized treaty tribes with potentially affected interests,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all potentially affected federally recognized Indian treaty tribes and, as relevant,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ae4f83ec56d4c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38e25379b4770" /><Relationship Type="http://schemas.openxmlformats.org/officeDocument/2006/relationships/footer" Target="/word/footer1.xml" Id="Raae4f83ec56d4cd1" /></Relationships>
</file>