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1abe21da94d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1973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Paul, Pollet, Bergquist, Sells, and Riccelli)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dual enrollment scholarship pilot program; amending RCW 28A.600.310; adding a new section to chapter 28B.76 RCW; and adding new sections to chapter 43.131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and</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w:t>
      </w:r>
      <w:r>
        <w:t>((</w:t>
      </w:r>
      <w:r>
        <w:rPr>
          <w:strike/>
        </w:rPr>
        <w:t xml:space="preserve">Each institution must establish a written policy for the determination of low-income students before offering the fee waiver.</w:t>
      </w:r>
      <w:r>
        <w:t>))</w:t>
      </w:r>
      <w:r>
        <w:rPr/>
        <w:t xml:space="preserve">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u w:val="singl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
      <w:pPr>
        <w:jc w:val="center"/>
      </w:pPr>
      <w:r>
        <w:rPr>
          <w:b/>
        </w:rPr>
        <w:t>--- END ---</w:t>
      </w:r>
    </w:p>
    <w:sectPr>
      <w:pgNumType w:start="1"/>
      <w:footerReference xmlns:r="http://schemas.openxmlformats.org/officeDocument/2006/relationships" r:id="R0464dcdf13074e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d83c904694da1" /><Relationship Type="http://schemas.openxmlformats.org/officeDocument/2006/relationships/footer" Target="/word/footer1.xml" Id="R0464dcdf13074e58" /></Relationships>
</file>