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da8019a13427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SECOND SUBSTITUTE HOUSE BILL 2066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2020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18,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SECOND SUBSTITUTE HOUSE BILL 2066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2066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Transportation (originally sponsored by Representatives Davis, Pellicciotti, Goodman, Appleton, Sutherland, Graham, Klippert, Leavitt, and Pollet)</w:t>
      </w:r>
    </w:p>
    <w:p/>
    <w:p>
      <w:r>
        <w:rPr>
          <w:t xml:space="preserve">READ FIRST TIME 02/11/20.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restrictions on driver's licenses associated with certain criminal offenses; amending RCW 46.20.285;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285</w:t>
      </w:r>
      <w:r>
        <w:rPr/>
        <w:t xml:space="preserve"> and 2005 c 288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revoke the license of any driver for the period of one calendar year unless otherwise provided in this section, upon receiving a record of the driver's conviction of any of the following offenses, when the conviction has become final: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vehicular homicide the period of revocation shall be two years.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Driving a motor vehicle while under the influence of intoxicating liquor or a narcotic drug, or under the influence of any other drug to a degree which renders the driver incapable of safely driving a motor vehicle, for the period prescribed in RCW 46.61.5055;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felony </w:t>
      </w:r>
      <w:r>
        <w:rPr>
          <w:u w:val="single"/>
        </w:rPr>
        <w:t xml:space="preserve">where the sentencing court determines that</w:t>
      </w:r>
      <w:r>
        <w:rPr/>
        <w:t xml:space="preserve"> in the commission </w:t>
      </w:r>
      <w:r>
        <w:t>((</w:t>
      </w:r>
      <w:r>
        <w:rPr>
          <w:strike/>
        </w:rPr>
        <w:t xml:space="preserve">of which</w:t>
      </w:r>
      <w:r>
        <w:t>))</w:t>
      </w:r>
      <w:r>
        <w:rPr/>
        <w:t xml:space="preserve"> </w:t>
      </w:r>
      <w:r>
        <w:rPr>
          <w:u w:val="single"/>
        </w:rPr>
        <w:t xml:space="preserve">of the offense</w:t>
      </w:r>
      <w:r>
        <w:rPr/>
        <w:t xml:space="preserve"> a motor vehicle </w:t>
      </w:r>
      <w:r>
        <w:t>((</w:t>
      </w:r>
      <w:r>
        <w:rPr>
          <w:strike/>
        </w:rPr>
        <w:t xml:space="preserve">is</w:t>
      </w:r>
      <w:r>
        <w:t>))</w:t>
      </w:r>
      <w:r>
        <w:rPr/>
        <w:t xml:space="preserve"> </w:t>
      </w:r>
      <w:r>
        <w:rPr>
          <w:u w:val="single"/>
        </w:rPr>
        <w:t xml:space="preserve">was</w:t>
      </w:r>
      <w:r>
        <w:rPr/>
        <w:t xml:space="preserve"> used </w:t>
      </w:r>
      <w:r>
        <w:rPr>
          <w:u w:val="single"/>
        </w:rPr>
        <w:t xml:space="preserve">in a manner that endangered persons or property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Failure to stop and give information or render aid as required under the laws of this state in the event of a motor vehicle accident resulting in the death or personal injury of another or resulting in damage to a vehicle that is driven or attended by another;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Perjury or the making of a false affidavit or statement under oath to the department under Title 46 RCW or under any other law relating to the ownership or operation of motor vehicles;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Reckless driving upon a showing by the department's records that the conviction is the third such conviction for the driver within a period of two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2dfae500227466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2066.PL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67d6b71de47fd" /><Relationship Type="http://schemas.openxmlformats.org/officeDocument/2006/relationships/footer" Target="/word/footer1.xml" Id="R42dfae5002274663" /></Relationships>
</file>