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f8884588f4d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2565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Doglio, and Hudgins)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labeling of disposable wipes products; adding a new chapter to Title 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 and</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request by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enforcing governmental entity that brought the action.</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or county must send a written notice of an alleged violation and a copy of the requirements of this chapter to a noncompliant covered entity, which will have ninety days to become compliant. A city or county may assess a first penalty if the covered entity has not met the requirements of this chapter ninety days following the date the notification was sent. A city or county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and l0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955ef99f0d249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301cc76d8473c" /><Relationship Type="http://schemas.openxmlformats.org/officeDocument/2006/relationships/footer" Target="/word/footer1.xml" Id="R3955ef99f0d249b8" /></Relationships>
</file>