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96e0dbf6b449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2669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2669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Sullivan, MacEwen, Lovick, and Tharinger</w:t>
      </w:r>
    </w:p>
    <w:p/>
    <w:p>
      <w:r>
        <w:rPr>
          <w:t xml:space="preserve">Read first time 01/17/20.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sports-related special license plates;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w:t>
            </w:r>
            <w:r>
              <w:rPr>
                <w:rFonts w:ascii="Times New Roman" w:hAnsi="Times New Roman"/>
                <w:sz w:val="16"/>
                <w:u w:val="single"/>
              </w:rPr>
              <w:t xml:space="preserve">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(22)</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r>
        <w:rPr>
          <w:u w:val="single"/>
        </w:rPr>
        <w:t xml:space="preserve">, subject to subsection (5) of this section</w:t>
      </w:r>
      <w:r>
        <w:rPr/>
        <w:t xml:space="preserv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u w:val="single"/>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office of the lieutenant governor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"Seattle NHL hockey special license plates" means special license plates issued under RCW 46.18.200 that display the logo of the national hockey league team based in Seattle.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fdb29409d9214d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a51369be4848f3" /><Relationship Type="http://schemas.openxmlformats.org/officeDocument/2006/relationships/footer" Target="/word/footer1.xml" Id="Rfdb29409d9214d5a" /></Relationships>
</file>