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9cfa0faa61450f" /></Relationships>
</file>

<file path=word/document.xml><?xml version="1.0" encoding="utf-8"?>
<w:document xmlns:w="http://schemas.openxmlformats.org/wordprocessingml/2006/main">
  <w:body>
    <w:p>
      <w:r>
        <w:t>S-0570.1</w:t>
      </w:r>
    </w:p>
    <w:p>
      <w:pPr>
        <w:jc w:val="center"/>
      </w:pPr>
      <w:r>
        <w:t>_______________________________________________</w:t>
      </w:r>
    </w:p>
    <w:p/>
    <w:p>
      <w:pPr>
        <w:jc w:val="center"/>
      </w:pPr>
      <w:r>
        <w:rPr>
          <w:b/>
        </w:rPr>
        <w:t>SENATE BILL 5141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Kuderer, Nguyen, Hunt, Das, Palumbo, Billig, Liias, Darneille, Frockt, Hasegawa, and Wilson, C.</w:t>
      </w:r>
    </w:p>
    <w:p/>
    <w:p>
      <w:r>
        <w:rPr>
          <w:t xml:space="preserve">Prefiled 01/11/19.</w:t>
        </w:rPr>
      </w:r>
      <w:r>
        <w:rPr>
          <w:t xml:space="preserve">Read first time 01/14/19.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resource officer mandatory training and policies; adding a new section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not the intent of the legislature to require school resource officers to work in schools. If a school district chooses to have a school resource officer program, it is the intent of the legislature to create statewide consistency for the minimum training requirements that school resource officers must receive and ensure that there is a clear agreement between the school district and local law enforcement agency in order to help establish effective partnerships that protect the health and safety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If a school district chooses to have a school resource officer program, the school district must confirm that the school resource officer has received training on the following topics: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Collateral consequences of arrest, referral for prosecution, and court involvement;</w:t>
      </w:r>
    </w:p>
    <w:p>
      <w:pPr>
        <w:spacing w:before="0" w:after="0" w:line="408" w:lineRule="exact"/>
        <w:ind w:left="0" w:right="0" w:firstLine="576"/>
        <w:jc w:val="left"/>
      </w:pPr>
      <w:r>
        <w:rPr/>
        <w:t xml:space="preserve">(g)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(h) Local and national disparities in the use of force and arrests of children;</w:t>
      </w:r>
    </w:p>
    <w:p>
      <w:pPr>
        <w:spacing w:before="0" w:after="0" w:line="408" w:lineRule="exact"/>
        <w:ind w:left="0" w:right="0" w:firstLine="576"/>
        <w:jc w:val="left"/>
      </w:pPr>
      <w:r>
        <w:rPr/>
        <w:t xml:space="preserve">(i) De-escalation techniques when working with youth or groups of youth;</w:t>
      </w:r>
    </w:p>
    <w:p>
      <w:pPr>
        <w:spacing w:before="0" w:after="0" w:line="408" w:lineRule="exact"/>
        <w:ind w:left="0" w:right="0" w:firstLine="576"/>
        <w:jc w:val="left"/>
      </w:pPr>
      <w:r>
        <w:rPr/>
        <w:t xml:space="preserve">(j) State law regarding restraint and isolation in schools, including RCW 28A.600.485;</w:t>
      </w:r>
    </w:p>
    <w:p>
      <w:pPr>
        <w:spacing w:before="0" w:after="0" w:line="408" w:lineRule="exact"/>
        <w:ind w:left="0" w:right="0" w:firstLine="576"/>
        <w:jc w:val="left"/>
      </w:pPr>
      <w:r>
        <w:rPr/>
        <w:t xml:space="preserve">(k) Bias free policing and cultural competency, including best practices for interacting with students from particular backgrounds, including English learners, LGBTQ, and immigrants; and</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w:t>
      </w:r>
    </w:p>
    <w:p>
      <w:pPr>
        <w:spacing w:before="0" w:after="0" w:line="408" w:lineRule="exact"/>
        <w:ind w:left="0" w:right="0" w:firstLine="576"/>
        <w:jc w:val="left"/>
      </w:pPr>
      <w:r>
        <w:rPr/>
        <w:t xml:space="preserve">(2) School districts that have a school resource officer program must annually review and adopt an agreement with the local law enforcement agency using a process that involves parents, students, and community members. At a minimum, the agreement must incorporate the following elements:</w:t>
      </w:r>
    </w:p>
    <w:p>
      <w:pPr>
        <w:spacing w:before="0" w:after="0" w:line="408" w:lineRule="exact"/>
        <w:ind w:left="0" w:right="0" w:firstLine="576"/>
        <w:jc w:val="left"/>
      </w:pPr>
      <w:r>
        <w:rPr/>
        <w:t xml:space="preserve">(a) A clear statement that school resource officers may not be involved in student discipline or enforcing school rules and a clear description of the types of incidents that do not warrant school resource officer involvement;</w:t>
      </w:r>
    </w:p>
    <w:p>
      <w:pPr>
        <w:spacing w:before="0" w:after="0" w:line="408" w:lineRule="exact"/>
        <w:ind w:left="0" w:right="0" w:firstLine="576"/>
        <w:jc w:val="left"/>
      </w:pPr>
      <w:r>
        <w:rPr/>
        <w:t xml:space="preserve">(b) School district policy and procedure for teachers that clarify the circumstances under which teachers and school administrators may ask an officer to intervene with a student;</w:t>
      </w:r>
    </w:p>
    <w:p>
      <w:pPr>
        <w:spacing w:before="0" w:after="0" w:line="408" w:lineRule="exact"/>
        <w:ind w:left="0" w:right="0" w:firstLine="576"/>
        <w:jc w:val="left"/>
      </w:pPr>
      <w:r>
        <w:rPr/>
        <w:t xml:space="preserve">(c) Annual collection and reporting of data regarding calls for law enforcement service and the outcome of each call, including student arrest and referral for prosecution, disaggregated by school, offense type, race, gender, age, and students who have an individualized education program or plan developed under section 504 of the federal rehabilitation act of 1973;</w:t>
      </w:r>
    </w:p>
    <w:p>
      <w:pPr>
        <w:spacing w:before="0" w:after="0" w:line="408" w:lineRule="exact"/>
        <w:ind w:left="0" w:right="0" w:firstLine="576"/>
        <w:jc w:val="left"/>
      </w:pPr>
      <w:r>
        <w:rPr/>
        <w:t xml:space="preserve">(d) A process for families to file complaints with the school and local law enforcement agency related to school resource officers and a process for investigating and responding to complaints; and</w:t>
      </w:r>
    </w:p>
    <w:p>
      <w:pPr>
        <w:spacing w:before="0" w:after="0" w:line="408" w:lineRule="exact"/>
        <w:ind w:left="0" w:right="0" w:firstLine="576"/>
        <w:jc w:val="left"/>
      </w:pPr>
      <w:r>
        <w:rPr/>
        <w:t xml:space="preserve">(e) Confirmation that the school resource officers have received the training required under subsection (1) of this section.</w:t>
      </w:r>
    </w:p>
    <w:p>
      <w:pPr>
        <w:spacing w:before="0" w:after="0" w:line="408" w:lineRule="exact"/>
        <w:ind w:left="0" w:right="0" w:firstLine="576"/>
        <w:jc w:val="left"/>
      </w:pPr>
      <w:r>
        <w:rPr/>
        <w:t xml:space="preserve">(3) For the purposes of this section, "school resource officer" means a commissioned law enforcement officer in the state of Washington with sworn authority to make arrests, deployed in community-oriented policing, and assigned to work in schools to assess threats affecting or occurring in or around K-12 schools.</w:t>
      </w:r>
    </w:p>
    <w:p/>
    <w:p>
      <w:pPr>
        <w:jc w:val="center"/>
      </w:pPr>
      <w:r>
        <w:rPr>
          <w:b/>
        </w:rPr>
        <w:t>--- END ---</w:t>
      </w:r>
    </w:p>
    <w:sectPr>
      <w:pgNumType w:start="1"/>
      <w:footerReference xmlns:r="http://schemas.openxmlformats.org/officeDocument/2006/relationships" r:id="Raf47128c9fc84a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803aba2d7d4b7e" /><Relationship Type="http://schemas.openxmlformats.org/officeDocument/2006/relationships/footer" Target="/word/footer1.xml" Id="Raf47128c9fc84a1c" /></Relationships>
</file>