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9a36eefb5475c" /></Relationships>
</file>

<file path=word/document.xml><?xml version="1.0" encoding="utf-8"?>
<w:document xmlns:w="http://schemas.openxmlformats.org/wordprocessingml/2006/main">
  <w:body>
    <w:p>
      <w:r>
        <w:t>S-2593.1</w:t>
      </w:r>
    </w:p>
    <w:p>
      <w:pPr>
        <w:jc w:val="center"/>
      </w:pPr>
      <w:r>
        <w:t>_______________________________________________</w:t>
      </w:r>
    </w:p>
    <w:p/>
    <w:p>
      <w:pPr>
        <w:jc w:val="center"/>
      </w:pPr>
      <w:r>
        <w:rPr>
          <w:b/>
        </w:rPr>
        <w:t>SECOND SUBSTITUTE SENATE BILL 5672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Cleveland, O'Ban, Walsh, Wellman, Darneille, Dhingra, Hunt, Keiser, Frockt, Kuderer, Nguyen, and Saldaña)</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adult family home specialty services; and adding a new section to chapter 70.128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developmental disabilities administration within the department shall work with stakeholders to design and implement services for individuals living in adult family homes who have a primary need of care related to a developmental or intellectual disability. These services must be designed to meet the specific provisions related to the assessment, environment, regulations, provision of care, and training requirements. These services must be designed to support an intentional environment to improve resident quality of life,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0" w:after="0" w:line="408" w:lineRule="exact"/>
        <w:ind w:left="0" w:right="0" w:firstLine="576"/>
        <w:jc w:val="left"/>
      </w:pPr>
      <w:r>
        <w:rPr/>
        <w:t xml:space="preserve">(2) Subject to the availability of amounts appropriated for this specific purpose, the aging and long-term support administration within the department shall work with stakeholders to design and implement proposed services for individuals living in adult family homes that are dedicated solely to the care of individuals with dementia, including Alzheimer's disease. These services must be designed to include specific provisions related to the assessment, environment, regulations, provision of care, and training requirements. These services must be designed to support an intentional environment to improve resident quality of life,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
      <w:pPr>
        <w:jc w:val="center"/>
      </w:pPr>
      <w:r>
        <w:rPr>
          <w:b/>
        </w:rPr>
        <w:t>--- END ---</w:t>
      </w:r>
    </w:p>
    <w:sectPr>
      <w:pgNumType w:start="1"/>
      <w:footerReference xmlns:r="http://schemas.openxmlformats.org/officeDocument/2006/relationships" r:id="Rb029ce20c18e4f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c446a6726c4265" /><Relationship Type="http://schemas.openxmlformats.org/officeDocument/2006/relationships/footer" Target="/word/footer1.xml" Id="Rb029ce20c18e4fb8" /></Relationships>
</file>