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4d2ca130e4eee" /></Relationships>
</file>

<file path=word/document.xml><?xml version="1.0" encoding="utf-8"?>
<w:document xmlns:w="http://schemas.openxmlformats.org/wordprocessingml/2006/main">
  <w:body>
    <w:p>
      <w:r>
        <w:t>S-0436.2</w:t>
      </w:r>
    </w:p>
    <w:p>
      <w:pPr>
        <w:jc w:val="center"/>
      </w:pPr>
      <w:r>
        <w:t>_______________________________________________</w:t>
      </w:r>
    </w:p>
    <w:p/>
    <w:p>
      <w:pPr>
        <w:jc w:val="center"/>
      </w:pPr>
      <w:r>
        <w:rPr>
          <w:b/>
        </w:rPr>
        <w:t>SENATE JOINT RESOLUTION 8204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Fortunato, Takko, Wagoner, and Wilson, L.</w:t>
      </w:r>
    </w:p>
    <w:p/>
    <w:p>
      <w:r>
        <w:rPr>
          <w:t xml:space="preserve">Read first time 01/23/19.  </w:t>
        </w:rPr>
      </w:r>
      <w:r>
        <w:rPr>
          <w:t xml:space="preserve">Referred to Committee on Agriculture, Water, Natural Resources &amp; Parks.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The right of the individual citizen to fish, hunt, and otherwise harvest wildlife shall not be infringed. This section does not abrogate, supersede, or limit any provision of law relating to trespass or private property rights. This section does not obligate or require the state or its political subdivisions to prohibit, curtail, control, regulate, or undertake, any activity that may directly or indirectly affect the abundance or health of fish or wildlife. This section may not be construed to establish, confirm, execute, implement, diminish, augment, alter, or in any way affect, any treaty, federal law, or presidential executive order.</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3b9c484fd4142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5d88f14a974f1d" /><Relationship Type="http://schemas.openxmlformats.org/officeDocument/2006/relationships/footer" Target="/word/footer1.xml" Id="R23b9c484fd41426a" /></Relationships>
</file>