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281124c604b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5149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Wilson, L., Becker, Kuderer, Short, and Takko)</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with victim notification technology; amending RCW 7.90.010 and 7.92.020; reenacting and amending RCW 9.94A.030 and 10.99.020; adding a new section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Tiffany Hill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w:t>
      </w:r>
      <w:r>
        <w:t>((</w:t>
      </w:r>
      <w:r>
        <w:rPr>
          <w:strike/>
        </w:rPr>
        <w:t xml:space="preserve">, whether pretrial or posttrial,</w:t>
      </w:r>
      <w:r>
        <w:t>))</w:t>
      </w:r>
      <w:r>
        <w:rPr/>
        <w:t xml:space="preserve">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w:t>
      </w:r>
      <w:r>
        <w:rPr>
          <w:u w:val="single"/>
        </w:rPr>
        <w:t xml:space="preserve">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r>
        <w:rPr/>
        <w:t xml:space="preserve">.</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010</w:t>
      </w:r>
      <w:r>
        <w:rPr/>
        <w:t xml:space="preserve"> and 2006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"Nonconsensual" means a lack of freely given agreement.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sexual assault protection order or any named victim of nonconsensual sexual conduct or nonconsensual sexual penetration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"Sexual assault protection order" means an ex parte temporary order or a final order granted under this chapter, which includes a remedy authorized by RCW 7.90.090.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thirteen, if done for the purpose of sexual gratification or arousal of the respondent or others; and</w:t>
      </w:r>
    </w:p>
    <w:p>
      <w:pPr>
        <w:spacing w:before="0" w:after="0" w:line="408" w:lineRule="exact"/>
        <w:ind w:left="0" w:right="0" w:firstLine="576"/>
        <w:jc w:val="left"/>
      </w:pPr>
      <w:r>
        <w:rPr/>
        <w:t xml:space="preserve">(f) Any coerced or forced touching or fondling by a child under the age of thirteen,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"Nonphysical contact" includes, but is not limited to, telephone calls, mail, email, fax, and written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"Minor" means a person who is under eighteen years of age.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stalking protection order or any named victim of stalking conduct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2019 c 263 s 203 and 2019 c 46 s 5014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means the same as in RCW 9.94A.030.</w:t>
      </w:r>
    </w:p>
    <w:p>
      <w:pPr>
        <w:spacing w:before="0" w:after="0" w:line="408" w:lineRule="exact"/>
        <w:ind w:left="0" w:right="0" w:firstLine="576"/>
        <w:jc w:val="left"/>
      </w:pPr>
      <w:r>
        <w:rPr>
          <w:u w:val="single"/>
        </w:rPr>
        <w:t xml:space="preserve">(4)</w:t>
      </w:r>
      <w:r>
        <w:rPr/>
        <w:t xml:space="preserve"> "Family or household members" means the same as in RCW 26.50.010.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"Intimate partners" means the same as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"Victim" means a family or household member or an intimate partner who has been subjected to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w:t>
      </w:r>
    </w:p>
    <w:p>
      <w:pPr>
        <w:spacing w:before="0" w:after="0" w:line="408" w:lineRule="exact"/>
        <w:ind w:left="0" w:right="0" w:firstLine="576"/>
        <w:jc w:val="left"/>
      </w:pPr>
      <w:r>
        <w:rPr/>
        <w:t xml:space="preserve">(a) Develop a list of vendors or enter into a contract with a vendor that provides electronic monitoring with victim notification technology. The office shall provide outreach to counties as to how courts may access the vendor or vendors; and</w:t>
      </w:r>
    </w:p>
    <w:p>
      <w:pPr>
        <w:spacing w:before="0" w:after="0" w:line="408" w:lineRule="exact"/>
        <w:ind w:left="0" w:right="0" w:firstLine="576"/>
        <w:jc w:val="left"/>
      </w:pPr>
      <w:r>
        <w:rPr/>
        <w:t xml:space="preserve">(b) Create an informational handout on the opportunity to request electronic monitoring with victim notification technology to be provided to individuals seeking a protection order and for which electronic monitoring with victim notification technology is available. The information must include a description of the technology used, requirements for accessing the technology, any limitations on how the technology may or may not assist the person in maintaining the safety of the victim and the victim's family, and how the person may request electronic monitoring with victim notification technology from the court.</w:t>
      </w:r>
    </w:p>
    <w:p>
      <w:pPr>
        <w:spacing w:before="0" w:after="0" w:line="408" w:lineRule="exact"/>
        <w:ind w:left="0" w:right="0" w:firstLine="576"/>
        <w:jc w:val="left"/>
      </w:pPr>
      <w:r>
        <w:rPr/>
        <w:t xml:space="preserve">(2) An appointed or elected public official, public employee, or public agency as defined in RCW 4.24.470, or units of local government and its employees, as provided in RCW 36.28A.010, are immune from civil liability for damages resulting from the utilization of electronic monitoring with victim notification technology, unless it is shown that the official, employee, or agency acted with gross negligence or in bad faith.</w:t>
      </w:r>
    </w:p>
    <w:p>
      <w:pPr>
        <w:spacing w:before="0" w:after="0" w:line="408" w:lineRule="exact"/>
        <w:ind w:left="0" w:right="0" w:firstLine="576"/>
        <w:jc w:val="left"/>
      </w:pPr>
      <w:r>
        <w:rPr/>
        <w:t xml:space="preserve">(3) For purposes of this section, "electronic monitoring" means the same as in RCW 9.94A.030.</w:t>
      </w:r>
    </w:p>
    <w:p/>
    <w:p>
      <w:pPr>
        <w:jc w:val="center"/>
      </w:pPr>
      <w:r>
        <w:rPr>
          <w:b/>
        </w:rPr>
        <w:t>--- END ---</w:t>
      </w:r>
    </w:p>
    <w:sectPr>
      <w:pgNumType w:start="1"/>
      <w:footerReference xmlns:r="http://schemas.openxmlformats.org/officeDocument/2006/relationships" r:id="Re7df88473ee54b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025e9a68f4442" /><Relationship Type="http://schemas.openxmlformats.org/officeDocument/2006/relationships/footer" Target="/word/footer1.xml" Id="Re7df88473ee54bf8" /></Relationships>
</file>