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733309fd047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accurate redistricting by counting individuals in state custody as residents of their last known place of residence; amending RCW 44.05.090; adding a new section to chapter 44.05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committed to receive involuntary behavioral health treatment under chapter 71.05 RCW:</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(3) After April 1st of each year ending in zero, and by July 1st of each year ending in zero, the department of children, youth, and families shall furnish to the redistricting commission the following information regarding the last known place of residence of each person residing or placed in a juvenile justice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(4) The redistricting commission shall:</w:t>
      </w:r>
    </w:p>
    <w:p>
      <w:pPr>
        <w:spacing w:before="0" w:after="0" w:line="408" w:lineRule="exact"/>
        <w:ind w:left="0" w:right="0" w:firstLine="576"/>
        <w:jc w:val="left"/>
      </w:pPr>
      <w:r>
        <w:rPr/>
        <w:t xml:space="preserve">(a) Deem each inmate incarcerated in a state adult correctional facility and person residing or placed in a juvenile justice facility or committed to receive involuntary behavioral health treatment under chapter 71.05 RCW as residing at his or her last known place of residence, rather than at the institution of his or her incarceration, residence, or placement;</w:t>
      </w:r>
    </w:p>
    <w:p>
      <w:pPr>
        <w:spacing w:before="0" w:after="0" w:line="408" w:lineRule="exact"/>
        <w:ind w:left="0" w:right="0" w:firstLine="576"/>
        <w:jc w:val="left"/>
      </w:pPr>
      <w:r>
        <w:rPr/>
        <w:t xml:space="preserve">(b) Regardless of the form in which the information is furnished, refrain from publishing any information regarding a specific inmate's or resident's last known place of residence;</w:t>
      </w:r>
    </w:p>
    <w:p>
      <w:pPr>
        <w:spacing w:before="0" w:after="0" w:line="408" w:lineRule="exact"/>
        <w:ind w:left="0" w:right="0" w:firstLine="576"/>
        <w:jc w:val="left"/>
      </w:pPr>
      <w:r>
        <w:rPr/>
        <w:t xml:space="preserve">(c) Deem an inmate or resident in state custody in Washington whose last known place of residence is outside of Washington or whose last known place of residence cannot be determined to reside at the location of the facility in which the inmate or resident is incarcerated, placed, or committed; and</w:t>
      </w:r>
    </w:p>
    <w:p>
      <w:pPr>
        <w:spacing w:before="0" w:after="0" w:line="408" w:lineRule="exact"/>
        <w:ind w:left="0" w:right="0" w:firstLine="576"/>
        <w:jc w:val="left"/>
      </w:pPr>
      <w:r>
        <w:rPr/>
        <w:t xml:space="preserve">(d) Adjust race and ethnicity data in districts, wards, and precincts in a manner that reflects the inclusion of inmates and residents in the population count of the district, ward, or precinct of their last known place of residence.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or resident was last domiciled prior to his or her placement or current term of incarceration, as reported by the inmate or resident.</w:t>
      </w:r>
    </w:p>
    <w:p>
      <w:pPr>
        <w:spacing w:before="0" w:after="0" w:line="408" w:lineRule="exact"/>
        <w:ind w:left="0" w:right="0" w:firstLine="576"/>
        <w:jc w:val="left"/>
      </w:pPr>
      <w:r>
        <w:rPr/>
        <w:t xml:space="preserve">(c) "Person residing or placed in a juvenile justice facility" and "person committed to receive involuntary behavioral health treatment under chapter 71.05 RCW" include a person who has been transferred to a facility outside of Washington.</w:t>
      </w:r>
    </w:p>
    <w:p>
      <w:pPr>
        <w:spacing w:before="0" w:after="0" w:line="408" w:lineRule="exact"/>
        <w:ind w:left="0" w:right="0" w:firstLine="576"/>
        <w:jc w:val="left"/>
      </w:pPr>
      <w:r>
        <w:rPr/>
        <w:t xml:space="preserve">(d) "Resident" means persons residing or placed in a juvenile justice facility or committed to receive involuntary behavioral health treatment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 </w:t>
      </w:r>
      <w:r>
        <w:rPr>
          <w:u w:val="single"/>
        </w:rPr>
        <w:t xml:space="preserve">as adjusted by section 1 of this act</w:t>
      </w:r>
      <w:r>
        <w:rPr/>
        <w:t xml:space="preserve">.</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pPr>
        <w:spacing w:before="0" w:after="0" w:line="408" w:lineRule="exact"/>
        <w:ind w:left="0" w:right="0" w:firstLine="576"/>
        <w:jc w:val="left"/>
      </w:pPr>
      <w:r>
        <w:rPr/>
        <w:t xml:space="preserve">(c) Whenever practicable, a precinct shall be wholly within a single legislative district.</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7806a3279ee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3a1e6d59d425a" /><Relationship Type="http://schemas.openxmlformats.org/officeDocument/2006/relationships/footer" Target="/word/footer1.xml" Id="R27806a3279ee4941" /></Relationships>
</file>