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aab5d1c2944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5394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King, Conway, Palumbo, and Keiser)</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licensees' use of web sites and social media to promote events;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w:t>
      </w:r>
      <w:r>
        <w:t>((</w:t>
      </w:r>
      <w:r>
        <w:rPr>
          <w:strike/>
        </w:rPr>
        <w:t xml:space="preserve">and</w:t>
      </w:r>
      <w:r>
        <w:t>))</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w:t>
      </w:r>
      <w:r>
        <w:t>((</w:t>
      </w:r>
      <w:r>
        <w:rPr>
          <w:strike/>
        </w:rPr>
        <w:t xml:space="preserve">or</w:t>
      </w:r>
      <w:r>
        <w:t>))</w:t>
      </w:r>
    </w:p>
    <w:p>
      <w:pPr>
        <w:spacing w:before="0" w:after="0" w:line="408" w:lineRule="exact"/>
        <w:ind w:left="0" w:right="0" w:firstLine="576"/>
        <w:jc w:val="left"/>
      </w:pPr>
      <w:r>
        <w:rPr/>
        <w:t xml:space="preserve">(c) </w:t>
      </w:r>
      <w:r>
        <w:rPr>
          <w:u w:val="single"/>
        </w:rPr>
        <w:t xml:space="preserve">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u w:val="single"/>
        </w:rPr>
        <w:t xml:space="preserve">(d)</w:t>
      </w:r>
      <w:r>
        <w:rPr/>
        <w:t xml:space="preserve">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a4e69e5584354d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01a90813545b5" /><Relationship Type="http://schemas.openxmlformats.org/officeDocument/2006/relationships/footer" Target="/word/footer1.xml" Id="Ra4e69e5584354d58" /></Relationships>
</file>