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5fc725b7bb44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5410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Mullet, Rivers, Palumbo, Liias, and Wilson, C.)</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advanced placement, international baccalaureate, and Cambridge international exams; amending RCW 28B.10.054; creating a new section; and repealing RCW 28B.10.051.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 legislature feels strongly that students who have earned minimum scores of three on advanced placement exams, four on standard-level and higher-level international baccalaureate exams, or scores of E(e) or higher on A and AS level Cambridge international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E(e) or higher on A and AS level Cambridge international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international baccalaureate exam undergraduate college credits under the terms of this section to students who first enrolled in the institution of higher education in the 2018-19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and international baccalaureate</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Credit policies regarding all Cambridge international exams must be posted on campus web sites effective for the 2020 fall academic term. If an institution of higher education is unable to award a general education course equivalency, the student may request in writing an evidence-based reason as to why general education course equivalency cannot be granted. Institutions of higher education must maintain web sites regarding their advanced placement, international baccalaureate, and Cambridge international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international</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w:t>
      </w:r>
      <w:r>
        <w:t>((</w:t>
      </w:r>
      <w:r>
        <w:rPr>
          <w:strike/>
        </w:rPr>
        <w:t xml:space="preserve">year</w:t>
      </w:r>
      <w:r>
        <w:t>))</w:t>
      </w:r>
      <w:r>
        <w:rPr/>
        <w:t xml:space="preserve"> </w:t>
      </w:r>
      <w:r>
        <w:rPr>
          <w:u w:val="single"/>
        </w:rPr>
        <w:t xml:space="preserve">biennium</w:t>
      </w:r>
      <w:r>
        <w:rPr/>
        <w:t xml:space="preserve"> beginning November 1, 2019.</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0" w:after="0" w:line="408" w:lineRule="exact"/>
        <w:ind w:left="0" w:right="0" w:firstLine="576"/>
        <w:jc w:val="left"/>
      </w:pPr>
      <w:r>
        <w:rPr>
          <w:u w:val="single"/>
        </w:rPr>
        <w:t xml:space="preserve">(5) For the purposes of this section, "general education course equivalency" means credit that fulfills general education or major requirements and is not awarded as elective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
      <w:pPr>
        <w:jc w:val="center"/>
      </w:pPr>
      <w:r>
        <w:rPr>
          <w:b/>
        </w:rPr>
        <w:t>--- END ---</w:t>
      </w:r>
    </w:p>
    <w:sectPr>
      <w:pgNumType w:start="1"/>
      <w:footerReference xmlns:r="http://schemas.openxmlformats.org/officeDocument/2006/relationships" r:id="Rcf8a89efc78e47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6ef3292b949be" /><Relationship Type="http://schemas.openxmlformats.org/officeDocument/2006/relationships/footer" Target="/word/footer1.xml" Id="Rcf8a89efc78e47d9" /></Relationships>
</file>