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9fd0881df7421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5488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64</w:t>
            </w:r>
            <w:r>
              <w:t xml:space="preserve">  Nays </w:t>
              <w:t xml:space="preserve">32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5488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5488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Darneille, Saldaña, Wilson, C., Keiser, and Nguyen)</w:t>
      </w:r>
    </w:p>
    <w:p/>
    <w:p>
      <w:r>
        <w:rPr>
          <w:t xml:space="preserve">READ FIRST TIME 01/23/20.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sentencing of youth and young adults; and amending RCW 9.94A.533.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2018 c 7 s 8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or bump-fire stock, possessing a stolen firearm, drive-by shooting, theft of a firearm, unlawful possession of a firearm in the first and second degree, and use of a machine gun or bump-fire stock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 Regardless of any provisions in this section, if a person is being sentenced in adult court for a crime committed under age eighteen, the court has full discretion to depart from mandatory sentencing enhancements and to take the particular circumstances surrounding the defendant's youth into account.</w:t>
      </w:r>
    </w:p>
    <w:p/>
    <w:p>
      <w:pPr>
        <w:jc w:val="center"/>
      </w:pPr>
      <w:r>
        <w:rPr>
          <w:b/>
        </w:rPr>
        <w:t>--- END ---</w:t>
      </w:r>
    </w:p>
    <w:sectPr>
      <w:pgNumType w:start="1"/>
      <w:footerReference xmlns:r="http://schemas.openxmlformats.org/officeDocument/2006/relationships" r:id="R20c7afe7467843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73dfea80e2489c" /><Relationship Type="http://schemas.openxmlformats.org/officeDocument/2006/relationships/footer" Target="/word/footer1.xml" Id="R20c7afe746784374" /></Relationships>
</file>