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a7aa851884b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5895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5895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Wilson, C., Nguyen,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fingerprint background checks for guardians ad litem; and amending RCW 13.34.100.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2017 c 99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w:t>
      </w:r>
      <w:r>
        <w:rPr>
          <w:u w:val="single"/>
        </w:rPr>
        <w:t xml:space="preserve">and fingerprint-based background checks shall be updated every three years</w:t>
      </w:r>
      <w:r>
        <w:rPr/>
        <w:t xml:space="preserve">.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rPr/>
        <w:t xml:space="preserve">(11)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
      <w:pPr>
        <w:jc w:val="center"/>
      </w:pPr>
      <w:r>
        <w:rPr>
          <w:b/>
        </w:rPr>
        <w:t>--- END ---</w:t>
      </w:r>
    </w:p>
    <w:sectPr>
      <w:pgNumType w:start="1"/>
      <w:footerReference xmlns:r="http://schemas.openxmlformats.org/officeDocument/2006/relationships" r:id="R7297dccd74fe40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8fc40b3a1f42d0" /><Relationship Type="http://schemas.openxmlformats.org/officeDocument/2006/relationships/footer" Target="/word/footer1.xml" Id="R7297dccd74fe4026" /></Relationships>
</file>