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4422b1e3946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Zeiger</w:t>
      </w:r>
    </w:p>
    <w:p/>
    <w:p>
      <w:r>
        <w:rPr>
          <w:t xml:space="preserve">Prefiled 01/09/20.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personal information for notifying the public about data breaches of a state or local agency system; and amending RCW 42.56.590.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2019 c 241 s 5 are each amended to read as follows:</w:t>
      </w:r>
    </w:p>
    <w:p>
      <w:pPr>
        <w:spacing w:before="0" w:after="0" w:line="408" w:lineRule="exact"/>
        <w:ind w:left="0" w:right="0" w:firstLine="576"/>
        <w:jc w:val="left"/>
      </w:pPr>
      <w:r>
        <w:rPr/>
        <w:t xml:space="preserve">(1) Any agency that owns or licenses data that includes personal information shall disclose any breach of the security of the system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agency that maintains or possesses data that may include personal information that the agency does not own or license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and except under subsection (5) of this section and RCW 42.56.592,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(5)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rPr/>
        <w:t xml:space="preserve">(6)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 and</w:t>
      </w:r>
    </w:p>
    <w:p>
      <w:pPr>
        <w:spacing w:before="0" w:after="0" w:line="408" w:lineRule="exact"/>
        <w:ind w:left="0" w:right="0" w:firstLine="576"/>
        <w:jc w:val="left"/>
      </w:pPr>
      <w:r>
        <w:rPr/>
        <w:t xml:space="preserve">(iv) The toll-free telephone numbers and addresses of the major credit reporting agencies if the breach exposed personal information.</w:t>
      </w:r>
    </w:p>
    <w:p>
      <w:pPr>
        <w:spacing w:before="0" w:after="0" w:line="408" w:lineRule="exact"/>
        <w:ind w:left="0" w:right="0" w:firstLine="576"/>
        <w:jc w:val="left"/>
      </w:pPr>
      <w:r>
        <w:rPr/>
        <w:t xml:space="preserve">(7) Any agency that is required to issue a notification pursuant to this section to more than five hundred Washington residents as a result of a single breach shall notify the attorney general of the breach no more than thirty days after the breach was discovered.</w:t>
      </w:r>
    </w:p>
    <w:p>
      <w:pPr>
        <w:spacing w:before="0" w:after="0" w:line="408" w:lineRule="exact"/>
        <w:ind w:left="0" w:right="0" w:firstLine="576"/>
        <w:jc w:val="left"/>
      </w:pPr>
      <w:r>
        <w:rPr/>
        <w:t xml:space="preserve">(a) The notice to the attorney general must include the following information:</w:t>
      </w:r>
    </w:p>
    <w:p>
      <w:pPr>
        <w:spacing w:before="0" w:after="0" w:line="408" w:lineRule="exact"/>
        <w:ind w:left="0" w:right="0" w:firstLine="576"/>
        <w:jc w:val="left"/>
      </w:pPr>
      <w:r>
        <w:rPr/>
        <w:t xml:space="preserve">(i) The number of Washington residents affected by the breach, or an estimate if the exact number is not known;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w:t>
      </w:r>
    </w:p>
    <w:p>
      <w:pPr>
        <w:spacing w:before="0" w:after="0" w:line="408" w:lineRule="exact"/>
        <w:ind w:left="0" w:right="0" w:firstLine="576"/>
        <w:jc w:val="left"/>
      </w:pPr>
      <w:r>
        <w:rPr/>
        <w:t xml:space="preserve">(iv) A summary of steps taken to contain the breach; and</w:t>
      </w:r>
    </w:p>
    <w:p>
      <w:pPr>
        <w:spacing w:before="0" w:after="0" w:line="408" w:lineRule="exact"/>
        <w:ind w:left="0" w:right="0" w:firstLine="576"/>
        <w:jc w:val="left"/>
      </w:pPr>
      <w:r>
        <w:rPr/>
        <w:t xml:space="preserve">(v) A single sample copy of the security breach notification, excluding any personally identifiable information.</w:t>
      </w:r>
    </w:p>
    <w:p>
      <w:pPr>
        <w:spacing w:before="0" w:after="0" w:line="408" w:lineRule="exact"/>
        <w:ind w:left="0" w:right="0" w:firstLine="576"/>
        <w:jc w:val="left"/>
      </w:pPr>
      <w:r>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rPr/>
        <w:t xml:space="preserve">(8) Notification to affected individuals must be made in the most expedient time possible, without unreasonable delay, and no more than thirty calendar days after the breach was discovered, unless the delay is at the request of law enforcement as provided in subsection (3) of this section, or the delay is due to any measures necessary to determine the scope of the breach and restore the reasonable integrity of the data system. 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(10)(a) For purposes of this section,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 </w:t>
      </w:r>
      <w:r>
        <w:rPr>
          <w:u w:val="single"/>
        </w:rPr>
        <w:t xml:space="preserve">or the last four digits of the social security number</w:t>
      </w:r>
      <w:r>
        <w:rPr/>
        <w:t xml:space="preserve">;</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
      <w:pPr>
        <w:jc w:val="center"/>
      </w:pPr>
      <w:r>
        <w:rPr>
          <w:b/>
        </w:rPr>
        <w:t>--- END ---</w:t>
      </w:r>
    </w:p>
    <w:sectPr>
      <w:pgNumType w:start="1"/>
      <w:footerReference xmlns:r="http://schemas.openxmlformats.org/officeDocument/2006/relationships" r:id="R4882b9a0627d45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6b05f6fd04d6d" /><Relationship Type="http://schemas.openxmlformats.org/officeDocument/2006/relationships/footer" Target="/word/footer1.xml" Id="R4882b9a0627d45b1" /></Relationships>
</file>