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3d675c74a48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Frockt and Honeyford; by request of Office of Financial Management)</w:t>
      </w:r>
    </w:p>
    <w:p/>
    <w:p>
      <w:r>
        <w:rPr>
          <w:t xml:space="preserve">READ FIRST TIME 02/24/20.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and 43.63A.750; amending 2019 c 413 ss 1009, 1026, 1029, 1030, 1035, 1037, 1028, 1033, 1041, 1042, 1043, 1051, 1059, 1065, 1052, 1054, 1031, 1039, 1071, 1073, 1090, 1092, 1093, 2001, 2002, 2010, 2037, 2038, 2039, 2072, 2075, 2080, 2084, 2086, 2091, 2093, 2094, 2096, 2098, 3008, 3009, 3011, 3016, 3022, 3023, 3026, 3028, 3030, 3031, 3032, 3034, 3036, 3038, 3052, 3056, 3062, 3064, 3069, 3081, 3093, 3096, 3097, 3115, 3119, 3120, 3123, 3129, 3131, 3132, 3135, 3137, 3141, 3143, 3144, 3145, 3149, 3150, 3151, 3152, 3153, 3156, 3160, 3204, 3218, 3223, 3232, 3236, 3242, 3247, 3252, 3253, 3254, 3255, 3234, 3274, 3275, 3294, 4001, 5001, 5012, 5028, 5025, 5030, 5032, 5033, 5034, 5035, 5044, 5060, 5072, 5079, 5093, 5097, 5098, 5101, 5109, 5122, 5103, 5126, 6005, 1024, 6006, 7001, 7002, 7003, 7021, and 7038 (uncodified); adding new sections to 2019 c 413 (uncodified); creating new sections; repealing 2019 c 413 ss 1005, 1059, 3099, and 3296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r>
        <w:rPr>
          <w:u w:val="single"/>
        </w:rPr>
        <w:t xml:space="preserve">, except that funding may not be directed to the Valley View Health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$16,534,000</w:t>
      </w:r>
    </w:p>
    <w:p>
      <w:pPr>
        <w:tabs>
          <w:tab w:val="right" w:leader="none" w:pos="9936"/>
        </w:tabs>
        <w:ind w:left="0" w:right="0" w:firstLine="1440"/>
      </w:pPr>
      <w:r>
        <w:tab/>
      </w:r>
      <w:r>
        <w:rPr>
          <w:u w:val="single"/>
        </w:rPr>
        <w:t xml:space="preserve">$15,534,000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$129,050,000</w:t>
      </w:r>
      <w:r>
        <w:t>))</w:t>
      </w:r>
      <w:r>
        <w:rPr/>
        <w:t xml:space="preserve"> </w:t>
      </w:r>
      <w:r>
        <w:rPr>
          <w:u w:val="single"/>
        </w:rPr>
        <w:t xml:space="preserve">$132,666,000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 $45,950,000</w:t>
      </w:r>
      <w:r>
        <w:t>))</w:t>
      </w:r>
      <w:r>
        <w:rPr>
          <w:u w:val="single"/>
        </w:rPr>
        <w:t xml:space="preserve">, $44,084,000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w:t>
      </w:r>
      <w:r>
        <w:t>((</w:t>
      </w:r>
      <w:r>
        <w:rPr>
          <w:strike/>
        </w:rPr>
        <w:t xml:space="preserve">$125,000</w:t>
      </w:r>
      <w:r>
        <w:t>))</w:t>
      </w:r>
      <w:r>
        <w:rPr/>
        <w:t xml:space="preserve"> </w:t>
      </w:r>
      <w:r>
        <w:rPr>
          <w:u w:val="single"/>
        </w:rPr>
        <w:t xml:space="preserve">$200,000</w:t>
      </w:r>
      <w:r>
        <w:rPr/>
        <w:t xml:space="preserve">,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$44,084,000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u w:val="single"/>
        </w:rPr>
        <w:t xml:space="preserve">FFC New Construction (Statewide)</w:t>
      </w:r>
      <w:r>
        <w:tab/>
      </w:r>
      <w:r>
        <w:rPr>
          <w:u w:val="single"/>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u w:val="single"/>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u w:val="single"/>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u w:val="single"/>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u w:val="single"/>
        </w:rPr>
        <w:t xml:space="preserve">(h) </w:t>
      </w:r>
      <w:r>
        <w:rPr>
          <w:u w:val="single"/>
        </w:rPr>
        <w:t xml:space="preserve">$5,000,000 of the state taxable building construction account</w:t>
      </w:r>
      <w:r>
        <w:rPr>
          <w:rFonts w:ascii="Times New Roman" w:hAnsi="Times New Roman"/>
          <w:u w:val="single"/>
        </w:rPr>
        <w:t xml:space="preserve">—</w:t>
      </w:r>
      <w:r>
        <w:rPr>
          <w:u w:val="single"/>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u w:val="single"/>
        </w:rPr>
        <w:t xml:space="preserve">(i) The availability of land to locate the community;</w:t>
      </w:r>
    </w:p>
    <w:p>
      <w:pPr>
        <w:spacing w:before="0" w:after="0" w:line="408" w:lineRule="exact"/>
        <w:ind w:left="0" w:right="0" w:firstLine="576"/>
        <w:jc w:val="left"/>
      </w:pPr>
      <w:r>
        <w:rPr>
          <w:u w:val="single"/>
        </w:rPr>
        <w:t xml:space="preserve">(ii) A strong readiness to proceed to construction;</w:t>
      </w:r>
    </w:p>
    <w:p>
      <w:pPr>
        <w:spacing w:before="0" w:after="0" w:line="408" w:lineRule="exact"/>
        <w:ind w:left="0" w:right="0" w:firstLine="576"/>
        <w:jc w:val="left"/>
      </w:pPr>
      <w:r>
        <w:rPr>
          <w:u w:val="single"/>
        </w:rPr>
        <w:t xml:space="preserve">(iii) A longer term of commitment to maintain the community;</w:t>
      </w:r>
    </w:p>
    <w:p>
      <w:pPr>
        <w:spacing w:before="0" w:after="0" w:line="408" w:lineRule="exact"/>
        <w:ind w:left="0" w:right="0" w:firstLine="576"/>
        <w:jc w:val="left"/>
      </w:pPr>
      <w:r>
        <w:rPr>
          <w:u w:val="single"/>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u w:val="single"/>
        </w:rPr>
        <w:t xml:space="preserve">(v) Access to employment centers, health care providers and other services; and</w:t>
      </w:r>
    </w:p>
    <w:p>
      <w:pPr>
        <w:spacing w:before="0" w:after="0" w:line="408" w:lineRule="exact"/>
        <w:ind w:left="0" w:right="0" w:firstLine="576"/>
        <w:jc w:val="left"/>
      </w:pPr>
      <w:r>
        <w:rPr>
          <w:u w:val="single"/>
        </w:rPr>
        <w:t xml:space="preserve">(vi) A community engagement strategy.</w:t>
      </w:r>
    </w:p>
    <w:p>
      <w:pPr>
        <w:spacing w:before="0" w:after="0" w:line="408" w:lineRule="exact"/>
        <w:ind w:left="0" w:right="0" w:firstLine="576"/>
        <w:jc w:val="left"/>
      </w:pPr>
      <w:r>
        <w:rPr>
          <w:u w:val="single"/>
        </w:rPr>
        <w:t xml:space="preserve">(i)</w:t>
      </w:r>
      <w:r>
        <w:rPr/>
        <w:t xml:space="preserve"> </w:t>
      </w:r>
      <w:r>
        <w:t>((</w:t>
      </w:r>
      <w:r>
        <w:rPr>
          <w:strike/>
        </w:rPr>
        <w:t xml:space="preserve">$57,050,000</w:t>
      </w:r>
      <w:r>
        <w:t>))</w:t>
      </w:r>
      <w:r>
        <w:rPr/>
        <w:t xml:space="preserve"> </w:t>
      </w:r>
      <w:r>
        <w:rPr>
          <w:u w:val="single"/>
        </w:rPr>
        <w:t xml:space="preserve">$55,666,000</w:t>
      </w:r>
      <w:r>
        <w:rPr/>
        <w:t xml:space="preserve">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w:t>
      </w:r>
      <w:r>
        <w:t>((</w:t>
      </w:r>
      <w:r>
        <w:rPr>
          <w:strike/>
        </w:rPr>
        <w:t xml:space="preserve">$5,000,000</w:t>
      </w:r>
      <w:r>
        <w:t>))</w:t>
      </w:r>
      <w:r>
        <w:rPr/>
        <w:t xml:space="preserve"> </w:t>
      </w:r>
      <w:r>
        <w:rPr>
          <w:u w:val="single"/>
        </w:rPr>
        <w:t xml:space="preserve">$3,616,000</w:t>
      </w:r>
      <w:r>
        <w:rPr/>
        <w:t xml:space="preserve">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$44,084,000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$129,050,000</w:t>
      </w:r>
      <w:r>
        <w:t>))</w:t>
      </w:r>
    </w:p>
    <w:p>
      <w:pPr>
        <w:spacing w:before="0" w:after="0" w:line="408" w:lineRule="exact"/>
        <w:ind w:left="0" w:right="0" w:firstLine="0"/>
        <w:jc w:val="left"/>
        <w:tabs>
          <w:tab w:val="right" w:leader="none" w:pos="9936"/>
        </w:tabs>
      </w:pPr>
      <w:r>
        <w:tab/>
      </w:r>
      <w:r>
        <w:rPr>
          <w:u w:val="single"/>
        </w:rPr>
        <w:t xml:space="preserve">$132,666,000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tabs>
          <w:tab w:val="right" w:leader="none" w:pos="9936"/>
        </w:tabs>
        <w:ind w:left="0" w:right="0" w:firstLine="1440"/>
      </w:pPr>
      <w:r>
        <w:tab/>
      </w:r>
      <w:r>
        <w:rPr>
          <w:u w:val="single"/>
        </w:rPr>
        <w:t xml:space="preserve">$656,750,000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w:t>
      </w:r>
      <w:r>
        <w:rPr>
          <w:u w:val="single"/>
        </w:rPr>
        <w:t xml:space="preserve">or for the benefit of</w:t>
      </w:r>
      <w:r>
        <w:rPr/>
        <w:t xml:space="preserve">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w:t>
      </w:r>
      <w:r>
        <w:rPr>
          <w:u w:val="single"/>
        </w:rPr>
        <w:t xml:space="preserve">at least fifteen percent</w:t>
      </w:r>
      <w:r>
        <w:rPr/>
        <w:t xml:space="preserv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$200,000</w:t>
      </w:r>
      <w:r>
        <w:t>))</w:t>
      </w:r>
      <w:r>
        <w:rPr/>
        <w:t xml:space="preserve"> </w:t>
      </w:r>
      <w:r>
        <w:rPr>
          <w:u w:val="single"/>
        </w:rPr>
        <w:t xml:space="preserve">$300,000</w:t>
      </w:r>
      <w:r>
        <w:rPr/>
        <w:t xml:space="preserve">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w:t>
      </w:r>
      <w:r>
        <w:t>((</w:t>
      </w:r>
      <w:r>
        <w:rPr>
          <w:strike/>
        </w:rPr>
        <w:t xml:space="preserve">$6,100,000</w:t>
      </w:r>
      <w:r>
        <w:t>))</w:t>
      </w:r>
      <w:r>
        <w:rPr/>
        <w:t xml:space="preserve"> </w:t>
      </w:r>
      <w:r>
        <w:rPr>
          <w:u w:val="single"/>
        </w:rPr>
        <w:t xml:space="preserve">$9,062,000</w:t>
      </w:r>
      <w:r>
        <w:rPr/>
        <w:t xml:space="preserve">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t>((</w:t>
      </w:r>
      <w:r>
        <w:rPr>
          <w:strike/>
        </w:rPr>
        <w:t xml:space="preserve">$2,000,000</w:t>
      </w:r>
      <w:r>
        <w:t>))</w:t>
      </w:r>
    </w:p>
    <w:p>
      <w:pPr>
        <w:spacing w:before="0" w:after="0" w:line="408" w:lineRule="exact"/>
        <w:ind w:left="0" w:right="0" w:firstLine="0"/>
        <w:jc w:val="right"/>
      </w:pPr>
      <w:r>
        <w:rPr>
          <w:u w:val="single"/>
        </w:rPr>
        <w:t xml:space="preserve">$3,000,000</w:t>
      </w:r>
    </w:p>
    <w:p>
      <w:pPr>
        <w:spacing w:before="0" w:after="0" w:line="408" w:lineRule="exact"/>
        <w:ind w:left="0" w:right="0" w:firstLine="576"/>
        <w:jc w:val="left"/>
        <w:tabs>
          <w:tab w:val="right" w:leader="dot" w:pos="9936"/>
        </w:tabs>
      </w:pPr>
      <w:r>
        <w:rPr>
          <w:u w:val="single"/>
        </w:rPr>
        <w:t xml:space="preserve">Club Discovery Early Learning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Anacortes Family Center</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Boys &amp; Girls Club Daycare</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Issaquah School District Early Learning Center</w:t>
      </w:r>
      <w:r>
        <w:tab/>
      </w:r>
      <w:r>
        <w:rPr>
          <w:u w:val="single"/>
        </w:rPr>
        <w:t xml:space="preserve">$155,000</w:t>
      </w:r>
    </w:p>
    <w:p>
      <w:pPr>
        <w:spacing w:before="0" w:after="0" w:line="408" w:lineRule="exact"/>
        <w:ind w:left="0" w:right="0" w:firstLine="576"/>
        <w:jc w:val="left"/>
        <w:tabs>
          <w:tab w:val="right" w:leader="dot" w:pos="9936"/>
        </w:tabs>
      </w:pPr>
      <w:r>
        <w:rPr>
          <w:u w:val="single"/>
        </w:rPr>
        <w:t xml:space="preserve">Opportunity Council Early Learning Central Kitchen</w:t>
      </w:r>
      <w:r>
        <w:tab/>
      </w:r>
      <w:r>
        <w:rPr>
          <w:u w:val="single"/>
        </w:rPr>
        <w:t xml:space="preserve">$52,000</w:t>
      </w:r>
    </w:p>
    <w:p>
      <w:pPr>
        <w:spacing w:before="0" w:after="0" w:line="408" w:lineRule="exact"/>
        <w:ind w:left="0" w:right="0" w:firstLine="576"/>
        <w:jc w:val="left"/>
        <w:tabs>
          <w:tab w:val="right" w:leader="dot" w:pos="9936"/>
        </w:tabs>
      </w:pPr>
      <w:r>
        <w:rPr>
          <w:u w:val="single"/>
        </w:rPr>
        <w:t xml:space="preserve">Samish Longhouse Early Learning Center Expansion</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Triumph Treatment Services Child Care</w:t>
      </w:r>
      <w:r>
        <w:tab/>
      </w:r>
      <w:r>
        <w:rPr>
          <w:u w:val="single"/>
        </w:rPr>
        <w:t xml:space="preserve">$300,000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$6,300,000</w:t>
      </w:r>
      <w:r>
        <w:t>))</w:t>
      </w:r>
    </w:p>
    <w:p>
      <w:pPr>
        <w:spacing w:before="0" w:after="0" w:line="408" w:lineRule="exact"/>
        <w:ind w:left="0" w:right="0" w:firstLine="0"/>
        <w:jc w:val="left"/>
        <w:tabs>
          <w:tab w:val="right" w:leader="none" w:pos="9936"/>
        </w:tabs>
      </w:pPr>
      <w:r>
        <w:tab/>
      </w:r>
      <w:r>
        <w:rPr>
          <w:u w:val="single"/>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$18,014,000</w:t>
      </w:r>
      <w:r>
        <w:t>))</w:t>
      </w:r>
    </w:p>
    <w:p>
      <w:pPr>
        <w:spacing w:before="0" w:after="0" w:line="408" w:lineRule="exact"/>
        <w:ind w:left="0" w:right="0" w:firstLine="0"/>
        <w:jc w:val="left"/>
        <w:tabs>
          <w:tab w:val="right" w:leader="none" w:pos="9936"/>
        </w:tabs>
      </w:pPr>
      <w:r>
        <w:tab/>
      </w:r>
      <w:r>
        <w:rPr>
          <w:u w:val="single"/>
        </w:rPr>
        <w:t xml:space="preserve">$22,248,000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t>((</w:t>
      </w:r>
      <w:r>
        <w:rPr>
          <w:strike/>
        </w:rPr>
        <w:t xml:space="preserve">$28,500,000</w:t>
      </w:r>
      <w:r>
        <w:t>))</w:t>
      </w:r>
    </w:p>
    <w:p>
      <w:pPr>
        <w:spacing w:before="0" w:after="0" w:line="408" w:lineRule="exact"/>
        <w:ind w:left="0" w:right="0" w:firstLine="0"/>
        <w:jc w:val="left"/>
        <w:tabs>
          <w:tab w:val="right" w:leader="none" w:pos="9936"/>
        </w:tabs>
      </w:pPr>
      <w:r>
        <w:tab/>
      </w:r>
      <w:r>
        <w:rPr>
          <w:u w:val="single"/>
        </w:rPr>
        <w:t xml:space="preserve">$35,796,000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$108,500,000</w:t>
      </w:r>
    </w:p>
    <w:p>
      <w:pPr>
        <w:tabs>
          <w:tab w:val="right" w:leader="none" w:pos="9936"/>
        </w:tabs>
        <w:ind w:left="0" w:right="0" w:firstLine="1440"/>
      </w:pPr>
      <w:r>
        <w:tab/>
      </w:r>
      <w:r>
        <w:rPr>
          <w:u w:val="single"/>
        </w:rPr>
        <w:t xml:space="preserve">$115,796,000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$84,500,000</w:t>
      </w:r>
      <w:r>
        <w:t>))</w:t>
      </w:r>
    </w:p>
    <w:p>
      <w:pPr>
        <w:spacing w:before="0" w:after="0" w:line="408" w:lineRule="exact"/>
        <w:ind w:left="0" w:right="0" w:firstLine="0"/>
        <w:jc w:val="left"/>
        <w:tabs>
          <w:tab w:val="right" w:leader="none" w:pos="9936"/>
        </w:tabs>
      </w:pPr>
      <w:r>
        <w:tab/>
      </w:r>
      <w:r>
        <w:rPr>
          <w:u w:val="single"/>
        </w:rPr>
        <w:t xml:space="preserve">$77,223,000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$90,376,000</w:t>
      </w:r>
    </w:p>
    <w:p>
      <w:pPr>
        <w:tabs>
          <w:tab w:val="right" w:leader="none" w:pos="9936"/>
        </w:tabs>
        <w:ind w:left="0" w:right="0" w:firstLine="1440"/>
      </w:pPr>
      <w:r>
        <w:tab/>
      </w:r>
      <w:r>
        <w:rPr>
          <w:u w:val="single"/>
        </w:rPr>
        <w:t xml:space="preserve">$83,099,000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tabs>
          <w:tab w:val="right" w:leader="none" w:pos="9936"/>
        </w:tabs>
        <w:ind w:left="0" w:right="0" w:firstLine="1440"/>
      </w:pPr>
      <w:r>
        <w:tab/>
      </w:r>
      <w:r>
        <w:rPr>
          <w:u w:val="single"/>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w:t>
      </w:r>
      <w:r>
        <w:t>((</w:t>
      </w:r>
      <w:r>
        <w:rPr>
          <w:strike/>
        </w:rPr>
        <w:t xml:space="preserve">$47,000,000</w:t>
      </w:r>
      <w:r>
        <w:t>))</w:t>
      </w:r>
      <w:r>
        <w:rPr/>
        <w:t xml:space="preserve"> </w:t>
      </w:r>
      <w:r>
        <w:rPr>
          <w:u w:val="single"/>
        </w:rPr>
        <w:t xml:space="preserve">$73,231,000</w:t>
      </w:r>
      <w:r>
        <w:rPr/>
        <w:t xml:space="preserve">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w:t>
      </w:r>
      <w:r>
        <w:t>((</w:t>
      </w:r>
      <w:r>
        <w:rPr>
          <w:strike/>
        </w:rPr>
        <w:t xml:space="preserve">$4,000,000</w:t>
      </w:r>
      <w:r>
        <w:t>))</w:t>
      </w:r>
      <w:r>
        <w:rPr/>
        <w:t xml:space="preserve"> </w:t>
      </w:r>
      <w:r>
        <w:rPr>
          <w:u w:val="single"/>
        </w:rPr>
        <w:t xml:space="preserve">$11,277,000</w:t>
      </w:r>
      <w:r>
        <w:rPr/>
        <w:t xml:space="preserve"> is provided solely for at least </w:t>
      </w:r>
      <w:r>
        <w:t>((</w:t>
      </w:r>
      <w:r>
        <w:rPr>
          <w:strike/>
        </w:rPr>
        <w:t xml:space="preserve">two</w:t>
      </w:r>
      <w:r>
        <w:t>))</w:t>
      </w:r>
      <w:r>
        <w:rPr/>
        <w:t xml:space="preserve"> </w:t>
      </w:r>
      <w:r>
        <w:rPr>
          <w:u w:val="single"/>
        </w:rPr>
        <w:t xml:space="preserve">six</w:t>
      </w:r>
      <w:r>
        <w:rPr/>
        <w:t xml:space="preserve"> enhanced service facilities for long-term placement of patients discharged or diverted from the state psychiatric hospitals and that are not subject to federal funding restrictions that apply to institutions of mental diseases</w:t>
      </w:r>
      <w:r>
        <w:rPr>
          <w:u w:val="single"/>
        </w:rPr>
        <w:t xml:space="preserve">. The department may award the amounts provided in this subsection (5)(a) to eligible applicants that applied in the first round</w:t>
      </w:r>
      <w:r>
        <w:rPr/>
        <w:t xml:space="preserve">;</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w:t>
      </w:r>
      <w:r>
        <w:t>((</w:t>
      </w:r>
      <w:r>
        <w:rPr>
          <w:strike/>
        </w:rPr>
        <w:t xml:space="preserve">$2,000,000</w:t>
      </w:r>
      <w:r>
        <w:t>))</w:t>
      </w:r>
      <w:r>
        <w:rPr/>
        <w:t xml:space="preserve"> </w:t>
      </w:r>
      <w:r>
        <w:rPr>
          <w:u w:val="single"/>
        </w:rPr>
        <w:t xml:space="preserve">$20,954,000</w:t>
      </w:r>
      <w:r>
        <w:rPr/>
        <w:t xml:space="preserve">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 </w:t>
      </w:r>
      <w:r>
        <w:rPr>
          <w:u w:val="single"/>
        </w:rPr>
        <w:t xml:space="preserve">The department may award the amounts provided in this subsection (5)(i) to eligible applicants that applied in the first round.</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$125,151,000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$126,151,000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$486,151,000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pPr>
      <w:r>
        <w:t>((</w:t>
      </w:r>
      <w:r>
        <w:rPr>
          <w:strike/>
        </w:rPr>
        <w:t xml:space="preserve">Children's Center Design &amp; Feasibility Study</w:t>
      </w:r>
    </w:p>
    <w:p>
      <w:pPr>
        <w:spacing w:before="0" w:after="0" w:line="408" w:lineRule="exact"/>
        <w:ind w:left="0" w:right="0" w:firstLine="576"/>
        <w:jc w:val="left"/>
        <w:tabs>
          <w:tab w:val="right" w:leader="dot" w:pos="9936"/>
        </w:tabs>
      </w:pPr>
      <w:r>
        <w:rPr>
          <w:strike/>
        </w:rPr>
        <w:t xml:space="preserve">(Vancouver)</w:t>
      </w:r>
      <w:r>
        <w:tab/>
      </w:r>
      <w:r>
        <w:rPr>
          <w:strike/>
        </w:rPr>
        <w:t xml:space="preserve">$400,000</w:t>
      </w:r>
      <w:r>
        <w:t>))</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t>((</w:t>
      </w:r>
      <w:r>
        <w:rPr>
          <w:strike/>
        </w:rPr>
        <w:t xml:space="preserve">$258,000</w:t>
      </w:r>
      <w:r>
        <w:t>))</w:t>
      </w:r>
    </w:p>
    <w:p>
      <w:pPr>
        <w:spacing w:before="0" w:after="0" w:line="408" w:lineRule="exact"/>
        <w:ind w:left="0" w:right="0" w:firstLine="576"/>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u w:val="single"/>
        </w:rPr>
        <w:t xml:space="preserve">Northaven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t>((</w:t>
      </w:r>
      <w:r>
        <w:rPr>
          <w:strike/>
        </w:rPr>
        <w:t xml:space="preserve">$96,000</w:t>
      </w:r>
      <w:r>
        <w:t>))</w:t>
      </w:r>
    </w:p>
    <w:p>
      <w:pPr>
        <w:spacing w:before="0" w:after="0" w:line="408" w:lineRule="exact"/>
        <w:ind w:left="0" w:right="0" w:firstLine="0"/>
        <w:jc w:val="right"/>
      </w:pPr>
      <w:r>
        <w:rPr>
          <w:u w:val="single"/>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t>((</w:t>
      </w:r>
      <w:r>
        <w:rPr>
          <w:strike/>
        </w:rPr>
        <w:t xml:space="preserve">$349,000</w:t>
      </w:r>
      <w:r>
        <w:t>))</w:t>
      </w:r>
      <w:r>
        <w:rPr/>
        <w:t xml:space="preserve"> </w:t>
      </w:r>
      <w:r>
        <w:rPr>
          <w:u w:val="single"/>
        </w:rPr>
        <w:t xml:space="preserve">$404,000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w:t>
      </w:r>
      <w:r>
        <w:rPr>
          <w:u w:val="single"/>
        </w:rPr>
        <w:t xml:space="preserve">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t>((</w:t>
      </w:r>
      <w:r>
        <w:rPr>
          <w:strike/>
        </w:rPr>
        <w:t xml:space="preserve">$1,000,000</w:t>
      </w:r>
      <w:r>
        <w:t>))</w:t>
      </w:r>
      <w:r>
        <w:rPr/>
        <w:t xml:space="preserve"> </w:t>
      </w:r>
      <w:r>
        <w:rPr>
          <w:u w:val="single"/>
        </w:rPr>
        <w:t xml:space="preserve">$1,050,000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u w:val="single"/>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tabs>
          <w:tab w:val="right" w:leader="none" w:pos="9936"/>
        </w:tabs>
        <w:ind w:left="0" w:right="0" w:firstLine="1440"/>
      </w:pPr>
      <w:r>
        <w:tab/>
      </w:r>
      <w:r>
        <w:rPr>
          <w:u w:val="single"/>
        </w:rPr>
        <w:t xml:space="preserve">$163,011,000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strike/>
        </w:rPr>
        <w:t xml:space="preserve">(2) $1,000,000</w:t>
      </w:r>
      <w:r>
        <w:t>))</w:t>
      </w:r>
      <w:r>
        <w:rPr/>
        <w:t xml:space="preserve"> </w:t>
      </w:r>
      <w:r>
        <w:rPr>
          <w:u w:val="single"/>
        </w:rPr>
        <w:t xml:space="preserve">$1,700,000</w:t>
      </w:r>
      <w:r>
        <w:rPr/>
        <w:t xml:space="preserve">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r>
        <w:rPr>
          <w:u w:val="single"/>
        </w:rPr>
        <w:t xml:space="preserve">, except that no funding may be directed to the Yelm historic building</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$40,569,000</w:t>
      </w:r>
    </w:p>
    <w:p>
      <w:pPr>
        <w:tabs>
          <w:tab w:val="right" w:leader="none" w:pos="9936"/>
        </w:tabs>
        <w:ind w:left="0" w:right="0" w:firstLine="1440"/>
      </w:pPr>
      <w:r>
        <w:tab/>
      </w:r>
      <w:r>
        <w:rPr>
          <w:u w:val="single"/>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$2,000,000</w:t>
      </w:r>
      <w:r>
        <w:rPr/>
        <w:t xml:space="preserve">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w:t>
      </w:r>
      <w:r>
        <w:t>((</w:t>
      </w:r>
      <w:r>
        <w:rPr>
          <w:strike/>
        </w:rPr>
        <w:t xml:space="preserve">$1,422,000 of the amounts in this section is provided solely for a grant for the port Hadlock wastewater facility project.</w:t>
      </w:r>
    </w:p>
    <w:p>
      <w:pPr>
        <w:spacing w:before="0" w:after="0" w:line="408" w:lineRule="exact"/>
        <w:ind w:left="0" w:right="0" w:firstLine="576"/>
        <w:jc w:val="left"/>
      </w:pPr>
      <w:r>
        <w:rPr>
          <w:strike/>
        </w:rPr>
        <w:t xml:space="preserve">(3)</w:t>
      </w:r>
      <w:r>
        <w:t>))</w:t>
      </w:r>
      <w:r>
        <w:rPr/>
        <w:t xml:space="preserve"> $1,400,000 of the amounts in this section is provided solely for a grant for the Eatonville water treatment plant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$4,000,000 of the amounts in this section is provided solely for a grant for the Wenatchi landing sewer extension – phase 1.</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$95,000,000</w:t>
      </w:r>
      <w:r>
        <w:t>))</w:t>
      </w:r>
    </w:p>
    <w:p>
      <w:pPr>
        <w:spacing w:before="0" w:after="0" w:line="408" w:lineRule="exact"/>
        <w:ind w:left="0" w:right="0" w:firstLine="0"/>
        <w:jc w:val="left"/>
        <w:tabs>
          <w:tab w:val="right" w:leader="none" w:pos="9936"/>
        </w:tabs>
      </w:pPr>
      <w:r>
        <w:tab/>
      </w:r>
      <w:r>
        <w:rPr>
          <w:u w:val="single"/>
        </w:rPr>
        <w:t xml:space="preserve">$93,578,000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$95,000,000</w:t>
      </w:r>
    </w:p>
    <w:p>
      <w:pPr>
        <w:tabs>
          <w:tab w:val="right" w:leader="none" w:pos="9936"/>
        </w:tabs>
        <w:ind w:left="0" w:right="0" w:firstLine="1440"/>
      </w:pPr>
      <w:r>
        <w:tab/>
      </w:r>
      <w:r>
        <w:rPr>
          <w:u w:val="single"/>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appropriation in this section is subject to the following conditions and limitations: $50,000 is provided to the department to contract with the Pacific hospital preservation and development authority to conduct a conceptual design and scoping for a master preservation and development plan of the Pacific hospital preservation and development authority property located at 1200 12th Avenue South, Seattle, WA 98144. The master preservation and development plan must create a longer-range framework for future development of the campus, identify priorities for capital improvement, identify potential reuse of appropriate facilities for community needs, including behavioral health, and ensure the maximization of highest and best use of public resources while adhering to the Pacific hospital preservation and development authority's mission of addressing health equity disparities for disadvantaged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w:t>
      </w:r>
      <w:r>
        <w:rPr/>
        <w:t xml:space="preserve"> 2019 c 413</w:t>
      </w:r>
      <w:r>
        <w:rPr/>
        <w:t xml:space="preserve"> (uncodified) to read as follows: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rPr/>
        <w:t xml:space="preserve">Crosswalk Teen Shelter (Spokane)</w:t>
      </w:r>
      <w:r>
        <w:tab/>
      </w:r>
      <w:r>
        <w:rPr/>
        <w:t xml:space="preserve">$1,500,000</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w:t>
      </w:r>
      <w:r>
        <w:rPr>
          <w:u w:val="single"/>
        </w:rPr>
        <w:t xml:space="preserve">, federally recognized tribal governments,</w:t>
      </w:r>
      <w:r>
        <w:rPr/>
        <w:t xml:space="preserve">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w:t>
      </w:r>
      <w:r>
        <w:rPr>
          <w:u w:val="single"/>
        </w:rPr>
        <w:t xml:space="preserve">federally recognized tribal governments,</w:t>
      </w:r>
      <w:r>
        <w:rPr/>
        <w:t xml:space="preserve">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tabs>
          <w:tab w:val="right" w:leader="none" w:pos="9936"/>
        </w:tabs>
        <w:ind w:left="0" w:right="0" w:firstLine="1440"/>
      </w:pPr>
      <w:r>
        <w:tab/>
      </w:r>
      <w:r>
        <w:rPr>
          <w:u w:val="single"/>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contract with an independent consultant that is agreed to by both the department of social and health services and the department of natural resources to assess potential land development opportunities for the Fircrest residential habilitation center and submit recommendations to the governor, the house capital budget committee, and the senate ways and means committee by November 1, 2020. The contract is exempt from the competitive procurement requirements in chapter 39.26 RCW.</w:t>
      </w:r>
    </w:p>
    <w:p>
      <w:pPr>
        <w:spacing w:before="0" w:after="0" w:line="408" w:lineRule="exact"/>
        <w:ind w:left="0" w:right="0" w:firstLine="576"/>
        <w:jc w:val="left"/>
      </w:pPr>
      <w:r>
        <w:rPr/>
        <w:t xml:space="preserve">(2) The consultant must work with the department of health, department of natural resources, the department of social and health services, and the city of Shoreline.</w:t>
      </w:r>
    </w:p>
    <w:p>
      <w:pPr>
        <w:spacing w:before="0" w:after="0" w:line="408" w:lineRule="exact"/>
        <w:ind w:left="0" w:right="0" w:firstLine="576"/>
        <w:jc w:val="left"/>
      </w:pPr>
      <w:r>
        <w:rPr/>
        <w:t xml:space="preserve">(3) The consultant recommendations must accomplish the following goals:</w:t>
      </w:r>
    </w:p>
    <w:p>
      <w:pPr>
        <w:spacing w:before="0" w:after="0" w:line="408" w:lineRule="exact"/>
        <w:ind w:left="0" w:right="0" w:firstLine="576"/>
        <w:jc w:val="left"/>
      </w:pPr>
      <w:r>
        <w:rPr/>
        <w:t xml:space="preserve">(a) Identify a site for a single-story nursing facility with a minimum of one hundred twenty beds and a site for a two-story nursing facility with a minimum of one hundred twenty beds, with an analysis of any corresponding staffing needs and the needs of the residents to ensure a sense of community and mobility;</w:t>
      </w:r>
    </w:p>
    <w:p>
      <w:pPr>
        <w:spacing w:before="0" w:after="0" w:line="408" w:lineRule="exact"/>
        <w:ind w:left="0" w:right="0" w:firstLine="576"/>
        <w:jc w:val="left"/>
      </w:pPr>
      <w:r>
        <w:rPr/>
        <w:t xml:space="preserve">(b) Identify potential sites for up to a forty-eight bed behavioral health facility; and</w:t>
      </w:r>
    </w:p>
    <w:p>
      <w:pPr>
        <w:spacing w:before="0" w:after="0" w:line="408" w:lineRule="exact"/>
        <w:ind w:left="0" w:right="0" w:firstLine="576"/>
        <w:jc w:val="left"/>
      </w:pPr>
      <w:r>
        <w:rPr/>
        <w:t xml:space="preserve">(c) Maximize the long-term revenue generating opportunities of the campus property while taking into consideration the infrastructure needs to accomplish the proposed development outlined in this subsection (3).</w:t>
      </w:r>
    </w:p>
    <w:p>
      <w:pPr>
        <w:spacing w:before="0" w:after="0" w:line="408" w:lineRule="exact"/>
        <w:ind w:left="0" w:right="0" w:firstLine="576"/>
        <w:jc w:val="left"/>
      </w:pPr>
      <w:r>
        <w:rPr/>
        <w:t xml:space="preserve">(4) A secondary recommendation may be submitted by the consultant that includes maximizing the long-term revenue generating opportunities of the campus property while taking into consideration the infrastructure needs to accomplish the proposed development outlined in subsections (3)(a) through (b) of this section and compatibility with the needs of the department of social and health services and the department of health, including the needs of the individuals they serve.</w:t>
      </w:r>
    </w:p>
    <w:p>
      <w:pPr>
        <w:spacing w:before="0" w:after="0" w:line="408" w:lineRule="exact"/>
        <w:ind w:left="0" w:right="0" w:firstLine="576"/>
        <w:jc w:val="left"/>
      </w:pPr>
      <w:r>
        <w:rPr/>
        <w:t xml:space="preserve">(5) It is the intent of the legislature to prioritize up to $125,000,000 in funding for the nursing facility replacement on the Fircrest residential habilitation center campus 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0" w:after="0" w:line="408" w:lineRule="exact"/>
        <w:ind w:left="0" w:right="0" w:firstLine="576"/>
        <w:jc w:val="left"/>
      </w:pPr>
      <w:r>
        <w:rPr>
          <w:u w:val="single"/>
        </w:rPr>
        <w:t xml:space="preserve">(4) It is the intent of the legislature to fully fund future capital requests necessary to complete the Capitol Lake long-term management planning in accordance with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$1,734,000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$715,000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t>((</w:t>
      </w:r>
      <w:r>
        <w:rPr>
          <w:strike/>
        </w:rPr>
        <w:t xml:space="preserve">Newhouse Replacement</w:t>
      </w:r>
      <w:r>
        <w:t>))</w:t>
      </w:r>
      <w:r>
        <w:rPr/>
        <w:t xml:space="preserve"> </w:t>
      </w:r>
      <w:r>
        <w:rPr>
          <w:u w:val="single"/>
        </w:rPr>
        <w:t xml:space="preserve">Legislative Campus Modernization</w:t>
      </w:r>
      <w:r>
        <w:rPr/>
        <w:t xml:space="preserve"> (92000020)</w:t>
      </w:r>
    </w:p>
    <w:p>
      <w:pPr>
        <w:spacing w:before="120" w:after="0" w:line="408" w:lineRule="exact"/>
        <w:ind w:left="0" w:right="0" w:firstLine="576"/>
        <w:jc w:val="left"/>
      </w:pPr>
      <w:r>
        <w:rPr>
          <w:u w:val="single"/>
        </w:rPr>
        <w:t xml:space="preserve">(1) The reappropriation in this section is subject to the following conditions and limitations: The final predesign for legislative campus modernization must be submitted to the office of financial management and legislative fiscal committees by September 1, 2020. The department must consult with the senate facilities and operations committee or their designee(s) and the house of representatives executive rules committee or their designee(s) during the development of and prior to finalizing and submitting the final predesign on September 1, 2020.</w:t>
      </w:r>
    </w:p>
    <w:p>
      <w:pPr>
        <w:spacing w:before="0" w:after="0" w:line="408" w:lineRule="exact"/>
        <w:ind w:left="0" w:right="0" w:firstLine="576"/>
        <w:jc w:val="left"/>
      </w:pPr>
      <w:r>
        <w:rPr>
          <w:u w:val="single"/>
        </w:rPr>
        <w:t xml:space="preserve">(a) With respect to the Irv Newhouse building replacement on opportunity site six, the final predesign must include demolition of buildings on opportunity site six, with the exception of the visitor center.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 and</w:t>
      </w:r>
    </w:p>
    <w:p>
      <w:pPr>
        <w:spacing w:before="0" w:after="0" w:line="408" w:lineRule="exact"/>
        <w:ind w:left="0" w:right="0" w:firstLine="576"/>
        <w:jc w:val="left"/>
      </w:pPr>
      <w:r>
        <w:rPr>
          <w:u w:val="single"/>
        </w:rPr>
        <w:t xml:space="preserve">(viii) At least bimonthly consultation with the senate facilities and operations committee or their designee(s).</w:t>
      </w:r>
    </w:p>
    <w:p>
      <w:pPr>
        <w:spacing w:before="0" w:after="0" w:line="408" w:lineRule="exact"/>
        <w:ind w:left="0" w:right="0" w:firstLine="576"/>
        <w:jc w:val="left"/>
      </w:pPr>
      <w:r>
        <w:rPr>
          <w:u w:val="single"/>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u w:val="single"/>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u w:val="single"/>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u w:val="single"/>
        </w:rPr>
        <w:t xml:space="preserve">(c) The legislative campus modernization predesign must assume:</w:t>
      </w:r>
    </w:p>
    <w:p>
      <w:pPr>
        <w:spacing w:before="0" w:after="0" w:line="408" w:lineRule="exact"/>
        <w:ind w:left="0" w:right="0" w:firstLine="576"/>
        <w:jc w:val="left"/>
      </w:pPr>
      <w:r>
        <w:rPr>
          <w:u w:val="single"/>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u w:val="single"/>
        </w:rPr>
        <w:t xml:space="preserve">(ii) The amount of parking on the capitol campus remains the same or increases as a result of the legislative campus modernization construction projects; and</w:t>
      </w:r>
    </w:p>
    <w:p>
      <w:pPr>
        <w:spacing w:before="0" w:after="0" w:line="408" w:lineRule="exact"/>
        <w:ind w:left="0" w:right="0" w:firstLine="576"/>
        <w:jc w:val="left"/>
      </w:pPr>
      <w:r>
        <w:rPr>
          <w:u w:val="single"/>
        </w:rPr>
        <w:t xml:space="preserve">(iii) Options for relocation of the occupants of impacted buildings that are not employed by the state to alternative locations, including, but not limited to, the visitor center.</w:t>
      </w:r>
    </w:p>
    <w:p>
      <w:pPr>
        <w:spacing w:before="0" w:after="0" w:line="408" w:lineRule="exact"/>
        <w:ind w:left="0" w:right="0" w:firstLine="576"/>
        <w:jc w:val="left"/>
      </w:pPr>
      <w:r>
        <w:rPr>
          <w:u w:val="single"/>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u w:val="single"/>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u w:val="single"/>
        </w:rPr>
        <w:t xml:space="preserve">(ii) Additional space added to the Pritchard replacement or renovation;</w:t>
      </w:r>
    </w:p>
    <w:p>
      <w:pPr>
        <w:spacing w:before="0" w:after="0" w:line="408" w:lineRule="exact"/>
        <w:ind w:left="0" w:right="0" w:firstLine="576"/>
        <w:jc w:val="left"/>
      </w:pPr>
      <w:r>
        <w:rPr>
          <w:u w:val="single"/>
        </w:rPr>
        <w:t xml:space="preserve">(iii) The impact to options to maintain, or increase, the amount of parking on Capitol Campus; and</w:t>
      </w:r>
    </w:p>
    <w:p>
      <w:pPr>
        <w:spacing w:before="0" w:after="0" w:line="408" w:lineRule="exact"/>
        <w:ind w:left="0" w:right="0" w:firstLine="576"/>
        <w:jc w:val="left"/>
      </w:pPr>
      <w:r>
        <w:rPr>
          <w:u w:val="single"/>
        </w:rPr>
        <w:t xml:space="preserve">(iv) Space needed for legislative support agencies.</w:t>
      </w:r>
    </w:p>
    <w:p>
      <w:pPr>
        <w:spacing w:before="0" w:after="0" w:line="408" w:lineRule="exact"/>
        <w:ind w:left="0" w:right="0" w:firstLine="576"/>
        <w:jc w:val="left"/>
      </w:pPr>
      <w:r>
        <w:rPr>
          <w:u w:val="single"/>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u w:val="single"/>
        </w:rPr>
        <w:t xml:space="preserve">(i) The interdependency and interaction of the design and construction phases of the subprojects;</w:t>
      </w:r>
    </w:p>
    <w:p>
      <w:pPr>
        <w:spacing w:before="0" w:after="0" w:line="408" w:lineRule="exact"/>
        <w:ind w:left="0" w:right="0" w:firstLine="576"/>
        <w:jc w:val="left"/>
      </w:pPr>
      <w:r>
        <w:rPr>
          <w:u w:val="single"/>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u w:val="single"/>
        </w:rPr>
        <w:t xml:space="preserve">(iii) Potential cost efficiencies under each subproject;</w:t>
      </w:r>
    </w:p>
    <w:p>
      <w:pPr>
        <w:spacing w:before="0" w:after="0" w:line="408" w:lineRule="exact"/>
        <w:ind w:left="0" w:right="0" w:firstLine="576"/>
        <w:jc w:val="left"/>
      </w:pPr>
      <w:r>
        <w:rPr>
          <w:u w:val="single"/>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u w:val="single"/>
        </w:rPr>
        <w:t xml:space="preserve">(v) Other collateral impacts.</w:t>
      </w:r>
    </w:p>
    <w:p>
      <w:pPr>
        <w:spacing w:before="0" w:after="0" w:line="408" w:lineRule="exact"/>
        <w:ind w:left="0" w:right="0" w:firstLine="576"/>
        <w:jc w:val="left"/>
      </w:pPr>
      <w:r>
        <w:rPr>
          <w:u w:val="single"/>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u w:val="single"/>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u w:val="single"/>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w:t>
      </w:r>
    </w:p>
    <w:p>
      <w:pPr>
        <w:spacing w:before="0" w:after="0" w:line="408" w:lineRule="exact"/>
        <w:ind w:left="0" w:right="0" w:firstLine="576"/>
        <w:jc w:val="left"/>
      </w:pPr>
      <w:r>
        <w:rPr>
          <w:u w:val="single"/>
        </w:rPr>
        <w:t xml:space="preserve">(viii) At least bimonthly consultation with the leadership of the senate, or their designee(s), and Irv Newhouse tenants; and</w:t>
      </w:r>
    </w:p>
    <w:p>
      <w:pPr>
        <w:spacing w:before="0" w:after="0" w:line="408" w:lineRule="exact"/>
        <w:ind w:left="0" w:right="0" w:firstLine="576"/>
        <w:jc w:val="left"/>
      </w:pPr>
      <w:r>
        <w:rPr>
          <w:u w:val="single"/>
        </w:rPr>
        <w:t xml:space="preserve">(ix) Procurement of the design solution will be completed by February 1, 2021, for the Irv Newhouse building replacement.</w:t>
      </w:r>
    </w:p>
    <w:p>
      <w:pPr>
        <w:spacing w:before="0" w:after="0" w:line="408" w:lineRule="exact"/>
        <w:ind w:left="0" w:right="0" w:firstLine="576"/>
        <w:jc w:val="left"/>
      </w:pPr>
      <w:r>
        <w:rPr>
          <w:u w:val="single"/>
        </w:rPr>
        <w:t xml:space="preserve">(b) $6,530,000 of the appropriation is provided solely for the Pritchard building replacement or renovation, and the renovation of the third and fourth floors of the John L. O'Brien building. The appropriation in this subsection is provided solely for the design and construction and assumes:</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u w:val="single"/>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(iv)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u w:val="single"/>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u w:val="single"/>
        </w:rPr>
        <w:t xml:space="preserve">(c) $100,000 of the appropriation is provided solely for the completion of predesign efforts as described in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$99,450,000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1005</w:t>
      </w:r>
      <w:r>
        <w:rPr/>
        <w:t xml:space="preserve"> (uncodified); and</w:t>
      </w:r>
    </w:p>
    <w:p>
      <w:pPr>
        <w:spacing w:before="0" w:after="0" w:line="408" w:lineRule="exact"/>
        <w:ind w:left="0" w:right="0" w:firstLine="576"/>
        <w:jc w:val="left"/>
      </w:pPr>
      <w:r>
        <w:t>(2)</w:t>
      </w:r>
      <w:r>
        <w:rPr/>
        <w:t xml:space="preserve">2019 c 413 s 1059</w:t>
      </w:r>
      <w:r>
        <w:rPr/>
        <w:t xml:space="preserve"> (uncodified).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capital and functional needs assessment of the criminal justice training center that includes an evaluation of:</w:t>
      </w:r>
    </w:p>
    <w:p>
      <w:pPr>
        <w:spacing w:before="0" w:after="0" w:line="408" w:lineRule="exact"/>
        <w:ind w:left="0" w:right="0" w:firstLine="576"/>
        <w:jc w:val="left"/>
      </w:pPr>
      <w:r>
        <w:rPr/>
        <w:t xml:space="preserve">(a) The current condition of the facilities;</w:t>
      </w:r>
    </w:p>
    <w:p>
      <w:pPr>
        <w:spacing w:before="0" w:after="0" w:line="408" w:lineRule="exact"/>
        <w:ind w:left="0" w:right="0" w:firstLine="576"/>
        <w:jc w:val="left"/>
      </w:pPr>
      <w:r>
        <w:rPr/>
        <w:t xml:space="preserve">(b) Capital needs to safely and effectively facilitate current and future law enforcement training; and</w:t>
      </w:r>
    </w:p>
    <w:p>
      <w:pPr>
        <w:spacing w:before="0" w:after="0" w:line="408" w:lineRule="exact"/>
        <w:ind w:left="0" w:right="0" w:firstLine="576"/>
        <w:jc w:val="left"/>
      </w:pPr>
      <w:r>
        <w:rPr/>
        <w:t xml:space="preserve">(c) Potential alternative funding sources to finance future capital needs, including, but not limited to:</w:t>
      </w:r>
    </w:p>
    <w:p>
      <w:pPr>
        <w:spacing w:before="0" w:after="0" w:line="408" w:lineRule="exact"/>
        <w:ind w:left="0" w:right="0" w:firstLine="576"/>
        <w:jc w:val="left"/>
      </w:pPr>
      <w:r>
        <w:rPr/>
        <w:t xml:space="preserve">(i) Reimbursement from law enforcement agencies; and</w:t>
      </w:r>
    </w:p>
    <w:p>
      <w:pPr>
        <w:spacing w:before="0" w:after="0" w:line="408" w:lineRule="exact"/>
        <w:ind w:left="0" w:right="0" w:firstLine="576"/>
        <w:jc w:val="left"/>
      </w:pPr>
      <w:r>
        <w:rPr/>
        <w:t xml:space="preserve">(ii) Public-private partnerships.</w:t>
      </w:r>
    </w:p>
    <w:p>
      <w:pPr>
        <w:spacing w:before="0" w:after="0" w:line="408" w:lineRule="exact"/>
        <w:ind w:left="0" w:right="0" w:firstLine="576"/>
        <w:jc w:val="left"/>
      </w:pPr>
      <w:r>
        <w:rPr/>
        <w:t xml:space="preserve">(2) Additionally, the assessment must compare the benefits and costs of alternative methods to address capital and function needs, including but not limited to:</w:t>
      </w:r>
    </w:p>
    <w:p>
      <w:pPr>
        <w:spacing w:before="0" w:after="0" w:line="408" w:lineRule="exact"/>
        <w:ind w:left="0" w:right="0" w:firstLine="576"/>
        <w:jc w:val="left"/>
      </w:pPr>
      <w:r>
        <w:rPr/>
        <w:t xml:space="preserve">(a) Fully modernizing the facilities located at the current location; and</w:t>
      </w:r>
    </w:p>
    <w:p>
      <w:pPr>
        <w:spacing w:before="0" w:after="0" w:line="408" w:lineRule="exact"/>
        <w:ind w:left="0" w:right="0" w:firstLine="576"/>
        <w:jc w:val="left"/>
      </w:pPr>
      <w:r>
        <w:rPr/>
        <w:t xml:space="preserve">(b) Relocating the training center to a new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replacement of the entire roof on the 2010 building with asphalt shingles.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 in this section is subject to the following conditions and limitations: The appropriation is provided solely for design of the renovation of building 66 on the Fircrest campus for the permanent relocation of the adult training program for residents of the Fircrest residential habilitation center. The design must include a plan for accommodating all activities of the adult training program currently housed in the existing adult training program building located in the northeast section of the campus and the activities currently housed in the activities building located northwest of building 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$13,385,000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$29,962,000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$7,469,000</w:t>
      </w:r>
    </w:p>
    <w:p>
      <w:pPr>
        <w:tabs>
          <w:tab w:val="right" w:leader="dot" w:pos="9936"/>
        </w:tabs>
        <w:ind w:left="0" w:right="0" w:firstLine="1440"/>
      </w:pPr>
      <w:r>
        <w:rPr/>
        <w:t xml:space="preserve">TOTAL</w:t>
      </w:r>
      <w:r>
        <w:tab/>
      </w:r>
      <w:r>
        <w:rPr/>
        <w:t xml:space="preserve">$7,619,000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$8,187,000</w:t>
      </w:r>
    </w:p>
    <w:p>
      <w:pPr>
        <w:tabs>
          <w:tab w:val="right" w:leader="dot" w:pos="9936"/>
        </w:tabs>
        <w:ind w:left="0" w:right="0" w:firstLine="1440"/>
      </w:pPr>
      <w:r>
        <w:rPr/>
        <w:t xml:space="preserve">TOTAL</w:t>
      </w:r>
      <w:r>
        <w:tab/>
      </w:r>
      <w:r>
        <w:rPr/>
        <w:t xml:space="preserve">$8,337,000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$8,413,000</w:t>
      </w:r>
    </w:p>
    <w:p>
      <w:pPr>
        <w:tabs>
          <w:tab w:val="right" w:leader="dot" w:pos="9936"/>
        </w:tabs>
        <w:ind w:left="0" w:right="0" w:firstLine="1440"/>
      </w:pPr>
      <w:r>
        <w:rPr/>
        <w:t xml:space="preserve">TOTAL</w:t>
      </w:r>
      <w:r>
        <w:tab/>
      </w:r>
      <w:r>
        <w:rPr/>
        <w:t xml:space="preserve">$8,563,000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$10,935,000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section 3010(6), chapter 298, Laws of 2018, may also be used for the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$49,006,000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Up to </w:t>
      </w:r>
      <w:r>
        <w:t>((</w:t>
      </w:r>
      <w:r>
        <w:rPr>
          <w:strike/>
        </w:rPr>
        <w:t xml:space="preserve">$23,757,000</w:t>
      </w:r>
      <w:r>
        <w:t>))</w:t>
      </w:r>
      <w:r>
        <w:rPr/>
        <w:t xml:space="preserve"> </w:t>
      </w:r>
      <w:r>
        <w:rPr>
          <w:u w:val="single"/>
        </w:rPr>
        <w:t xml:space="preserve">$24,007,000</w:t>
      </w:r>
      <w:r>
        <w:rPr/>
        <w:t xml:space="preserve">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u w:val="single"/>
        </w:rPr>
        <w:t xml:space="preserve">(b) Of the amount provided in this subsection, up to $250,000 is for contracting with an independent third party to assess the financial impacts on landowners whose property could become the site of a flood retention structure and temporary reservoir project, including, but not limited to, timber valuation, construction of alternative transportation networks, and lost timber production associated with the project.</w:t>
      </w:r>
    </w:p>
    <w:p>
      <w:pPr>
        <w:spacing w:before="0" w:after="0" w:line="408" w:lineRule="exact"/>
        <w:ind w:left="0" w:right="0" w:firstLine="576"/>
        <w:jc w:val="left"/>
      </w:pPr>
      <w:r>
        <w:rPr/>
        <w:t xml:space="preserve">(2)</w:t>
      </w:r>
      <w:r>
        <w:rPr>
          <w:u w:val="single"/>
        </w:rPr>
        <w:t xml:space="preserve">(a)</w:t>
      </w:r>
      <w:r>
        <w:rPr/>
        <w:t xml:space="preserve"> Up to </w:t>
      </w:r>
      <w:r>
        <w:t>((</w:t>
      </w:r>
      <w:r>
        <w:rPr>
          <w:strike/>
        </w:rPr>
        <w:t xml:space="preserve">$49,450,000</w:t>
      </w:r>
      <w:r>
        <w:t>))</w:t>
      </w:r>
      <w:r>
        <w:rPr/>
        <w:t xml:space="preserve"> </w:t>
      </w:r>
      <w:r>
        <w:rPr>
          <w:u w:val="single"/>
        </w:rPr>
        <w:t xml:space="preserve">$49,900,000</w:t>
      </w:r>
      <w:r>
        <w:rPr/>
        <w:t xml:space="preserve"> of the appropriation is for construction of local priority flood protection and habitat restoration projects.</w:t>
      </w:r>
    </w:p>
    <w:p>
      <w:pPr>
        <w:spacing w:before="0" w:after="0" w:line="408" w:lineRule="exact"/>
        <w:ind w:left="0" w:right="0" w:firstLine="576"/>
        <w:jc w:val="left"/>
      </w:pPr>
      <w:r>
        <w:rPr>
          <w:u w:val="single"/>
        </w:rPr>
        <w:t xml:space="preserve">(b) Of the amount provided in this subsection, up to $450,000 is for a state match for equal funding from the office of the Chehalis basin for the Lower Satsop Restoration and Protection Program Keys Road Protection Project.</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$73,207,000</w:t>
      </w:r>
      <w:r>
        <w:t>))</w:t>
      </w:r>
    </w:p>
    <w:p>
      <w:pPr>
        <w:spacing w:before="0" w:after="0" w:line="408" w:lineRule="exact"/>
        <w:ind w:left="0" w:right="0" w:firstLine="0"/>
        <w:jc w:val="left"/>
        <w:tabs>
          <w:tab w:val="right" w:leader="none" w:pos="9936"/>
        </w:tabs>
      </w:pPr>
      <w:r>
        <w:tab/>
      </w:r>
      <w:r>
        <w:rPr>
          <w:u w:val="single"/>
        </w:rPr>
        <w:t xml:space="preserve">$73,907,000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strike/>
        </w:rPr>
        <w:t xml:space="preserve">$361,207,000</w:t>
      </w:r>
    </w:p>
    <w:p>
      <w:pPr>
        <w:tabs>
          <w:tab w:val="right" w:leader="none" w:pos="9936"/>
        </w:tabs>
        <w:ind w:left="0" w:right="0" w:firstLine="1440"/>
      </w:pPr>
      <w:r>
        <w:tab/>
      </w:r>
      <w:r>
        <w:rPr>
          <w:u w:val="single"/>
        </w:rPr>
        <w:t xml:space="preserve">$361,907,000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Senate Bill No. 6256 (heating oil insurance program).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The amounts 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0" w:after="0" w:line="408" w:lineRule="exact"/>
        <w:ind w:left="0" w:right="0" w:firstLine="576"/>
        <w:jc w:val="left"/>
      </w:pPr>
      <w:r>
        <w:rPr>
          <w:u w:val="single"/>
        </w:rPr>
        <w:t xml:space="preserve">(3) A maximum of $302,000 of unused amounts in this appropriation may be used for the state route number 547 pedestrian and bicycle safety trail near Kendall, without requiring matching resources.</w:t>
      </w:r>
    </w:p>
    <w:p>
      <w:pPr>
        <w:spacing w:before="0" w:after="0" w:line="408" w:lineRule="exact"/>
        <w:ind w:left="0" w:right="0" w:firstLine="576"/>
        <w:jc w:val="left"/>
      </w:pPr>
      <w:r>
        <w:rPr>
          <w:u w:val="single"/>
        </w:rPr>
        <w:t xml:space="preserve">(4) A maximum of $448,000 of unused amounts in this appropriation may be used for the Stanwood Port Susan trail project near Stanwood, without requiring matching resources.</w:t>
      </w:r>
    </w:p>
    <w:p>
      <w:pPr>
        <w:spacing w:before="0" w:after="0" w:line="408" w:lineRule="exact"/>
        <w:ind w:left="0" w:right="0" w:firstLine="576"/>
        <w:jc w:val="left"/>
      </w:pPr>
      <w:r>
        <w:rPr>
          <w:u w:val="single"/>
        </w:rPr>
        <w:t xml:space="preserve">(5) A maximum of $300,000 of unused amounts in this appropriation may be used for the ebey waterfront trail near Marysville, without requiring matching resources.</w:t>
      </w:r>
    </w:p>
    <w:p>
      <w:pPr>
        <w:spacing w:before="0" w:after="0" w:line="408" w:lineRule="exact"/>
        <w:ind w:left="0" w:right="0" w:firstLine="576"/>
        <w:jc w:val="left"/>
      </w:pPr>
      <w:r>
        <w:rPr>
          <w:u w:val="single"/>
        </w:rPr>
        <w:t xml:space="preserve">(6) A maximum of $400,000 of unused amounts in this appropriation may be used for trail lighting on the cross Kirkland corridor (CKC) at the I-405 underpass in Totem Lake near Kirkland,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RECREATION AND CONSERVATION OFFICE</w:t>
      </w:r>
    </w:p>
    <w:p>
      <w:pPr>
        <w:spacing w:before="0" w:after="0" w:line="408" w:lineRule="exact"/>
        <w:ind w:left="0" w:right="0" w:firstLine="576"/>
        <w:jc w:val="left"/>
      </w:pPr>
      <w:r>
        <w:rPr/>
        <w:t xml:space="preserve">Community Forest Project List Development (91001354)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recreation and conservation office shall consult with the department of natural resources and stakeholders to develop funding criteria and a ranked project list to establish community forest projects for funding consideration in the 2021-2023 biennium.</w:t>
      </w:r>
    </w:p>
    <w:p>
      <w:pPr>
        <w:spacing w:before="0" w:after="0" w:line="408" w:lineRule="exact"/>
        <w:ind w:left="0" w:right="0" w:firstLine="576"/>
        <w:jc w:val="left"/>
      </w:pPr>
      <w:r>
        <w:rPr/>
        <w:t xml:space="preserve">(2) The recreation and conservation office shall develop options for establishing accounting assurances for future revenues that may be generated from community forests.</w:t>
      </w:r>
    </w:p>
    <w:p>
      <w:pPr>
        <w:spacing w:before="0" w:after="0" w:line="408" w:lineRule="exact"/>
        <w:ind w:left="0" w:right="0" w:firstLine="576"/>
        <w:jc w:val="left"/>
      </w:pPr>
      <w:r>
        <w:rPr/>
        <w:t xml:space="preserve">(3) The criteria established under subsection (1) of this section must allow for a review of project submissions by the recreation and conservation funding board in a manner that is complementary to existing conservation funding programs administered by the office.</w:t>
      </w:r>
    </w:p>
    <w:p>
      <w:pPr>
        <w:spacing w:before="0" w:after="0" w:line="408" w:lineRule="exact"/>
        <w:ind w:left="0" w:right="0" w:firstLine="576"/>
        <w:jc w:val="left"/>
      </w:pPr>
      <w:r>
        <w:rPr/>
        <w:t xml:space="preserve">(4) A project may be included in the ranked list created under subsection (1) of this section only if it meets the following conditions:</w:t>
      </w:r>
    </w:p>
    <w:p>
      <w:pPr>
        <w:spacing w:before="0" w:after="0" w:line="408" w:lineRule="exact"/>
        <w:ind w:left="0" w:right="0" w:firstLine="576"/>
        <w:jc w:val="left"/>
      </w:pPr>
      <w:r>
        <w:rPr/>
        <w:t xml:space="preserve">(a) The property under consideration must be forestland;</w:t>
      </w:r>
    </w:p>
    <w:p>
      <w:pPr>
        <w:spacing w:before="0" w:after="0" w:line="408" w:lineRule="exact"/>
        <w:ind w:left="0" w:right="0" w:firstLine="576"/>
        <w:jc w:val="left"/>
      </w:pPr>
      <w:r>
        <w:rPr/>
        <w:t xml:space="preserve">(b) Acquisition of the property under consideration must be fee simple;</w:t>
      </w:r>
    </w:p>
    <w:p>
      <w:pPr>
        <w:spacing w:before="0" w:after="0" w:line="408" w:lineRule="exact"/>
        <w:ind w:left="0" w:right="0" w:firstLine="576"/>
        <w:jc w:val="left"/>
      </w:pPr>
      <w:r>
        <w:rPr/>
        <w:t xml:space="preserve">(c) The entity acquiring the property under consideration must be a nonprofit conservation organization, local government, tribe, or a state agency working directly with one or more of the these entities; and</w:t>
      </w:r>
    </w:p>
    <w:p>
      <w:pPr>
        <w:spacing w:before="0" w:after="0" w:line="408" w:lineRule="exact"/>
        <w:ind w:left="0" w:right="0" w:firstLine="576"/>
        <w:jc w:val="left"/>
      </w:pPr>
      <w:r>
        <w:rPr/>
        <w:t xml:space="preserve">(d) The community forest project must promote, enhance, or develop community and economic benefits.</w:t>
      </w:r>
    </w:p>
    <w:p>
      <w:pPr>
        <w:spacing w:before="0" w:after="0" w:line="408" w:lineRule="exact"/>
        <w:ind w:left="0" w:right="0" w:firstLine="576"/>
        <w:jc w:val="left"/>
      </w:pPr>
      <w:r>
        <w:rPr/>
        <w:t xml:space="preserve">(5) The recreation and conservation office shall submit the funding criteria and the ranked project list required under subsection (1) of this section and the accounting options required under subsection (2) of this section to the legislature by December 31,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January 15, 2021;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3205, chapter 19, Laws of 2013 2nd sp. sess.</w:t>
      </w:r>
    </w:p>
    <w:p>
      <w:pPr>
        <w:spacing w:before="0" w:after="0" w:line="408" w:lineRule="exact"/>
        <w:ind w:left="0" w:right="0" w:firstLine="576"/>
        <w:jc w:val="left"/>
      </w:pPr>
      <w:r>
        <w:rPr>
          <w:u w:val="single"/>
        </w:rPr>
        <w:t xml:space="preserve">(2) To avoid foregoing the investment in design and permitting that has already been expended on the Pioneer Park location for the Deschutes Watershed Center, the comanagers shall reconsider this site along with any other locations they agree on. The comanagers shall reevaluate feasible locations by September 30, 2020, and prepare a decision document to justify the best available location.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tabs>
          <w:tab w:val="right" w:leader="none" w:pos="9936"/>
        </w:tabs>
        <w:ind w:left="0" w:right="0" w:firstLine="1440"/>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2019 c 413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Fire Service Training Account</w:t>
      </w:r>
      <w:r>
        <w:rPr>
          <w:rFonts w:ascii="Times New Roman" w:hAnsi="Times New Roman"/>
          <w:u w:val="single"/>
        </w:rPr>
        <w:t xml:space="preserve">—</w:t>
      </w:r>
      <w:r>
        <w:rPr>
          <w:u w:val="single"/>
        </w:rPr>
        <w:t xml:space="preserve">State</w:t>
      </w:r>
      <w:r>
        <w:tab/>
      </w:r>
      <w:r>
        <w:rPr>
          <w:u w:val="single"/>
        </w:rPr>
        <w:t xml:space="preserve">$414,000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$3,132,000</w:t>
      </w:r>
    </w:p>
    <w:p>
      <w:pPr>
        <w:tabs>
          <w:tab w:val="right" w:leader="none" w:pos="9936"/>
        </w:tabs>
        <w:ind w:left="0" w:right="0" w:firstLine="1440"/>
      </w:pPr>
      <w:r>
        <w:tab/>
      </w:r>
      <w:r>
        <w:rPr>
          <w:u w:val="single"/>
        </w:rPr>
        <w:t xml:space="preserve">$3,546,000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$472,000</w:t>
      </w:r>
      <w:r>
        <w:t>))</w:t>
      </w:r>
    </w:p>
    <w:p>
      <w:pPr>
        <w:spacing w:before="0" w:after="0" w:line="408" w:lineRule="exact"/>
        <w:ind w:left="0" w:right="0" w:firstLine="0"/>
        <w:jc w:val="left"/>
        <w:tabs>
          <w:tab w:val="right" w:leader="none" w:pos="9936"/>
        </w:tabs>
      </w:pPr>
      <w:r>
        <w:tab/>
      </w:r>
      <w:r>
        <w:rPr>
          <w:u w:val="single"/>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$35,544,000</w:t>
      </w:r>
    </w:p>
    <w:p>
      <w:pPr>
        <w:tabs>
          <w:tab w:val="right" w:leader="none" w:pos="9936"/>
        </w:tabs>
        <w:ind w:left="0" w:right="0" w:firstLine="1440"/>
      </w:pPr>
      <w:r>
        <w:tab/>
      </w:r>
      <w:r>
        <w:rPr>
          <w:u w:val="single"/>
        </w:rPr>
        <w:t xml:space="preserve">$35,104,000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$879,021,000</w:t>
      </w:r>
      <w:r>
        <w:t>))</w:t>
      </w:r>
    </w:p>
    <w:p>
      <w:pPr>
        <w:spacing w:before="0" w:after="0" w:line="408" w:lineRule="exact"/>
        <w:ind w:left="0" w:right="0" w:firstLine="0"/>
        <w:jc w:val="left"/>
        <w:tabs>
          <w:tab w:val="right" w:leader="none" w:pos="9936"/>
        </w:tabs>
      </w:pPr>
      <w:r>
        <w:tab/>
      </w:r>
      <w:r>
        <w:rPr>
          <w:u w:val="single"/>
        </w:rPr>
        <w:t xml:space="preserve">$851,208,000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w:t>
      </w:r>
      <w:r>
        <w:t>((</w:t>
      </w:r>
      <w:r>
        <w:rPr>
          <w:strike/>
        </w:rPr>
        <w:t xml:space="preserve">after the legislature approves the list</w:t>
      </w:r>
      <w:r>
        <w:t>))</w:t>
      </w:r>
      <w:r>
        <w:rPr/>
        <w:t xml:space="preserve"> </w:t>
      </w:r>
      <w:r>
        <w:rPr>
          <w:u w:val="single"/>
        </w:rPr>
        <w:t xml:space="preserve">to projects approved by the legislature, as identified in LEAP capital document No. 2020-51, developed March 6,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for under subsection (2) of this section, the</w:t>
      </w:r>
      <w:r>
        <w:rPr/>
        <w:t xml:space="preserve"> reappropriation is subject to the provisions of section 5007, chapter 298, Laws of 2018.</w:t>
      </w:r>
    </w:p>
    <w:p>
      <w:pPr>
        <w:spacing w:before="0" w:after="0" w:line="408" w:lineRule="exact"/>
        <w:ind w:left="0" w:right="0" w:firstLine="576"/>
        <w:jc w:val="left"/>
      </w:pPr>
      <w:r>
        <w:rPr>
          <w:u w:val="single"/>
        </w:rPr>
        <w:t xml:space="preserve">(2) School districts that receive reappropriations in this section may use the reappropriation to fund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w:t>
      </w:r>
      <w:r>
        <w:t>((</w:t>
      </w:r>
      <w:r>
        <w:rPr>
          <w:strike/>
        </w:rPr>
        <w:t xml:space="preserve">made with mass timber products, including cross-laminated timber,</w:t>
      </w:r>
      <w:r>
        <w:t>))</w:t>
      </w:r>
      <w:r>
        <w:rPr/>
        <w:t xml:space="preserve">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t>
      </w:r>
      <w:r>
        <w:t>((</w:t>
      </w:r>
      <w:r>
        <w:rPr>
          <w:strike/>
        </w:rPr>
        <w:t xml:space="preserve">with highest percentage of mass timber products in the overall construction of the project</w:t>
      </w:r>
      <w:r>
        <w:t>))</w:t>
      </w:r>
      <w:r>
        <w:rPr/>
        <w:t xml:space="preserve">; and</w:t>
      </w:r>
    </w:p>
    <w:p>
      <w:pPr>
        <w:spacing w:before="0" w:after="0" w:line="408" w:lineRule="exact"/>
        <w:ind w:left="0" w:right="0" w:firstLine="576"/>
        <w:jc w:val="left"/>
      </w:pPr>
      <w:r>
        <w:rPr/>
        <w:t xml:space="preserve">(iv) Projects that </w:t>
      </w:r>
      <w:r>
        <w:t>((</w:t>
      </w:r>
      <w:r>
        <w:rPr>
          <w:strike/>
        </w:rPr>
        <w:t xml:space="preserve">demonstrate</w:t>
      </w:r>
      <w:r>
        <w:t>))</w:t>
      </w:r>
      <w:r>
        <w:rPr/>
        <w:t xml:space="preserve"> </w:t>
      </w:r>
      <w:r>
        <w:rPr>
          <w:u w:val="single"/>
        </w:rPr>
        <w:t xml:space="preserve">are</w:t>
      </w:r>
      <w:r>
        <w:rPr/>
        <w:t xml:space="preserve"> multistory </w:t>
      </w:r>
      <w:r>
        <w:t>((</w:t>
      </w:r>
      <w:r>
        <w:rPr>
          <w:strike/>
        </w:rPr>
        <w:t xml:space="preserve">application of mass timber products</w:t>
      </w:r>
      <w:r>
        <w:t>))</w:t>
      </w:r>
      <w:r>
        <w:rPr/>
        <w:t xml:space="preserve">.</w:t>
      </w:r>
    </w:p>
    <w:p>
      <w:pPr>
        <w:spacing w:before="0" w:after="0" w:line="408" w:lineRule="exact"/>
        <w:ind w:left="0" w:right="0" w:firstLine="576"/>
        <w:jc w:val="left"/>
      </w:pPr>
      <w:r>
        <w:rPr>
          <w:u w:val="single"/>
        </w:rPr>
        <w:t xml:space="preserve">(5) $1,000,000 of the appropriation in this section is provided solely for a distressed schools project in the Mount Adams school district.</w:t>
      </w:r>
    </w:p>
    <w:p>
      <w:pPr>
        <w:spacing w:before="0" w:after="0" w:line="408" w:lineRule="exact"/>
        <w:ind w:left="0" w:right="0" w:firstLine="576"/>
        <w:jc w:val="left"/>
      </w:pPr>
      <w:r>
        <w:rPr>
          <w:u w:val="single"/>
        </w:rPr>
        <w:t xml:space="preserve">(6) $700,000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(7)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(8) $328,000 of the appropriation in this section is provided solely for an agricultural resource center in Tacoma.</w:t>
      </w:r>
    </w:p>
    <w:p>
      <w:pPr>
        <w:spacing w:before="0" w:after="0" w:line="408" w:lineRule="exact"/>
        <w:ind w:left="0" w:right="0" w:firstLine="576"/>
        <w:jc w:val="left"/>
      </w:pPr>
      <w:r>
        <w:rPr>
          <w:u w:val="single"/>
        </w:rPr>
        <w:t xml:space="preserve">(9) $200,000 of the appropriation in this section is provided solely for a schoolyard park in Tacoma.</w:t>
      </w:r>
    </w:p>
    <w:p>
      <w:pPr>
        <w:spacing w:before="0" w:after="0" w:line="408" w:lineRule="exact"/>
        <w:ind w:left="0" w:right="0" w:firstLine="576"/>
        <w:jc w:val="left"/>
      </w:pPr>
      <w:r>
        <w:rPr>
          <w:u w:val="single"/>
        </w:rPr>
        <w:t xml:space="preserve">(10) $309,000 of the appropriation in this section is provided solely for a school-based health center in Port Orchard.</w:t>
      </w:r>
    </w:p>
    <w:p>
      <w:pPr>
        <w:spacing w:before="0" w:after="0" w:line="408" w:lineRule="exact"/>
        <w:ind w:left="0" w:right="0" w:firstLine="576"/>
        <w:jc w:val="left"/>
      </w:pPr>
      <w:r>
        <w:rPr>
          <w:u w:val="single"/>
        </w:rPr>
        <w:t xml:space="preserve">(11) $100,000 of the appropriation in this section is provided solely for the Republic school district for predesign and scoping work related to the replacement of a school facility. It is the intent of the legislature to appropriate $9,000,000 for the Republic school district in the 2021-23 fiscal biennium for the demolition of an existing school facility and for the design and construction of a new school, subject to the Republic school district securing a local match equal to not less than $4,500,000.</w:t>
      </w:r>
    </w:p>
    <w:p>
      <w:pPr>
        <w:spacing w:before="0" w:after="0" w:line="408" w:lineRule="exact"/>
        <w:ind w:left="0" w:right="0" w:firstLine="576"/>
        <w:jc w:val="left"/>
      </w:pPr>
      <w:r>
        <w:rPr>
          <w:u w:val="single"/>
        </w:rPr>
        <w:t xml:space="preserve">(12) School districts that receive funding in this section may use that funding for the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tabs>
          <w:tab w:val="right" w:leader="none" w:pos="9936"/>
        </w:tabs>
        <w:ind w:left="0" w:right="0" w:firstLine="1440"/>
      </w:pPr>
      <w:r>
        <w:tab/>
      </w:r>
      <w:r>
        <w:rPr>
          <w:u w:val="single"/>
        </w:rPr>
        <w:t xml:space="preserve">$25,937,000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In the development of school seismic safety retrofit project priorities for the 2021-2023 fiscal biennium, in addition to prioritizing projects based on their seismic risk classification, the superintendent of public instruction shall also give due consideration to the following: (a) Prioritizing improvements of school buildings used for the instruction of students in kindergarten through twelfth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$133,240,000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w:t>
      </w:r>
      <w:r>
        <w:t>((</w:t>
      </w:r>
      <w:r>
        <w:rPr>
          <w:strike/>
        </w:rPr>
        <w:t xml:space="preserve">and</w:t>
      </w:r>
      <w:r>
        <w:t>))</w:t>
      </w:r>
      <w:r>
        <w:rPr/>
        <w:t xml:space="preserve"> design costs</w:t>
      </w:r>
      <w:r>
        <w:rPr>
          <w:u w:val="single"/>
        </w:rPr>
        <w:t xml:space="preserve">, enabling projects, and early work packages</w:t>
      </w:r>
      <w:r>
        <w:rPr/>
        <w:t xml:space="preserve">.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$2,463,000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$4,537,000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for evaluating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5097</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t>((</w:t>
      </w:r>
      <w:r>
        <w:rPr>
          <w:strike/>
        </w:rPr>
        <w:t xml:space="preserve">Fort Worden Public Development Authority - Sage Arts &amp;</w:t>
      </w:r>
    </w:p>
    <w:p>
      <w:pPr>
        <w:spacing w:before="0" w:after="0" w:line="408" w:lineRule="exact"/>
        <w:ind w:left="0" w:right="0" w:firstLine="1152"/>
        <w:jc w:val="left"/>
        <w:tabs>
          <w:tab w:val="right" w:leader="dot" w:pos="9936"/>
        </w:tabs>
      </w:pPr>
      <w:r>
        <w:rPr>
          <w:strike/>
        </w:rPr>
        <w:t xml:space="preserve">Ed Ctr</w:t>
      </w:r>
      <w:r>
        <w:tab/>
      </w:r>
      <w:r>
        <w:rPr>
          <w:strike/>
        </w:rPr>
        <w:t xml:space="preserve">$560,000</w:t>
      </w:r>
      <w:r>
        <w:t>))</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$9,737,000</w:t>
      </w:r>
      <w:r>
        <w:t>))</w:t>
      </w:r>
    </w:p>
    <w:p>
      <w:pPr>
        <w:spacing w:before="0" w:after="0" w:line="408" w:lineRule="exact"/>
        <w:ind w:left="0" w:right="0" w:firstLine="0"/>
        <w:jc w:val="left"/>
        <w:tabs>
          <w:tab w:val="right" w:leader="none" w:pos="9936"/>
        </w:tabs>
      </w:pPr>
      <w:r>
        <w:tab/>
      </w:r>
      <w:r>
        <w:rPr>
          <w:u w:val="single"/>
        </w:rPr>
        <w:t xml:space="preserve">$9,177,000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$9,737,000</w:t>
      </w:r>
    </w:p>
    <w:p>
      <w:pPr>
        <w:tabs>
          <w:tab w:val="right" w:leader="none" w:pos="9936"/>
        </w:tabs>
        <w:ind w:left="0" w:right="0" w:firstLine="1440"/>
      </w:pPr>
      <w:r>
        <w:tab/>
      </w:r>
      <w:r>
        <w:rPr>
          <w:u w:val="single"/>
        </w:rPr>
        <w:t xml:space="preserve">$9,177,000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Historical Society to lead a commemoration of Black History Month in 2021 at the State Capitol to include the planning and presentation of events and/or exhibitions on the Capitol campus, development of digital educational resources, and the creation or refurbishment of permanent fixtures and/or structures commemorating the history of African Americans in Washington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u w:val="single"/>
        </w:rPr>
        <w:t xml:space="preserve">It is the intent of the legislature that all remaining work on this project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$36,642,000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$36,642,000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$19,287,000</w:t>
      </w:r>
      <w:r>
        <w:t>))</w:t>
      </w:r>
    </w:p>
    <w:p>
      <w:pPr>
        <w:spacing w:before="0" w:after="0" w:line="408" w:lineRule="exact"/>
        <w:ind w:left="0" w:right="0" w:firstLine="0"/>
        <w:jc w:val="left"/>
        <w:tabs>
          <w:tab w:val="right" w:leader="none" w:pos="9936"/>
        </w:tabs>
      </w:pPr>
      <w:r>
        <w:tab/>
      </w:r>
      <w:r>
        <w:rPr>
          <w:u w:val="single"/>
        </w:rPr>
        <w:t xml:space="preserve">$19,196,000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$20,240,000</w:t>
      </w:r>
    </w:p>
    <w:p>
      <w:pPr>
        <w:tabs>
          <w:tab w:val="right" w:leader="none" w:pos="9936"/>
        </w:tabs>
        <w:ind w:left="0" w:right="0" w:firstLine="1440"/>
      </w:pPr>
      <w:r>
        <w:tab/>
      </w:r>
      <w:r>
        <w:rPr>
          <w:u w:val="single"/>
        </w:rPr>
        <w:t xml:space="preserve">$20,149,000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0" w:after="0" w:line="408" w:lineRule="exact"/>
        <w:ind w:left="0" w:right="0" w:firstLine="576"/>
        <w:jc w:val="left"/>
      </w:pPr>
      <w:r>
        <w:rPr>
          <w:u w:val="single"/>
        </w:rPr>
        <w:t xml:space="preserve">The appropriation in this section is subject to the following conditions and limitations: The appropriation authorizes Spokane Falls to enter into a contract for the construction of this project. It is the intent of the legislature that $17,140,000 will be appropriated for this project in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$17,140,000</w:t>
      </w:r>
    </w:p>
    <w:p>
      <w:pPr>
        <w:tabs>
          <w:tab w:val="right" w:leader="dot" w:pos="9936"/>
        </w:tabs>
        <w:ind w:left="0" w:right="0" w:firstLine="1440"/>
      </w:pPr>
      <w:r>
        <w:rPr/>
        <w:t xml:space="preserve">TOTAL</w:t>
      </w:r>
      <w:r>
        <w:tab/>
      </w:r>
      <w:r>
        <w:rPr>
          <w:strike/>
        </w:rPr>
        <w:t xml:space="preserve">$2,827,000</w:t>
      </w:r>
    </w:p>
    <w:p>
      <w:pPr>
        <w:tabs>
          <w:tab w:val="right" w:leader="none" w:pos="9936"/>
        </w:tabs>
        <w:ind w:left="0" w:right="0" w:firstLine="1440"/>
      </w:pPr>
      <w:r>
        <w:tab/>
      </w:r>
      <w:r>
        <w:rPr>
          <w:u w:val="single"/>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$32,279,000</w:t>
      </w:r>
    </w:p>
    <w:p>
      <w:pPr>
        <w:tabs>
          <w:tab w:val="right" w:leader="dot" w:pos="9936"/>
        </w:tabs>
        <w:ind w:left="0" w:right="0" w:firstLine="1440"/>
      </w:pPr>
      <w:r>
        <w:rPr/>
        <w:t xml:space="preserve">TOTAL</w:t>
      </w:r>
      <w:r>
        <w:tab/>
      </w:r>
      <w:r>
        <w:rPr/>
        <w:t xml:space="preserve">$32,554,000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w:t>
      </w:r>
      <w:r>
        <w:t>((</w:t>
      </w:r>
      <w:r>
        <w:rPr>
          <w:strike/>
        </w:rPr>
        <w:t xml:space="preserve">purchase of the three south annex properties. The state board for community and technical colleges must transfer the three south annex properties located at 1530 Broadway, 1534 Broadway, and 909 East Pine street 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t>))</w:t>
      </w:r>
      <w:r>
        <w:rPr/>
        <w:t xml:space="preserve"> </w:t>
      </w:r>
      <w:r>
        <w:rPr>
          <w:u w:val="single"/>
        </w:rPr>
        <w:t xml:space="preserve">department to contract directly with YouthCare Service Center to purchase the 1534 Broadway site from Capitol Hill Housing in order for YouthCare Service Center to develop a youth community center</w:t>
      </w:r>
      <w:r>
        <w:rPr/>
        <w:t xml:space="preserv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r>
        <w:rPr>
          <w:u w:val="single"/>
        </w:rPr>
        <w:t xml:space="preserve">, except that no funding may be directed to the Puyallup Meeker Mansion Public Plaza</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w:t>
      </w:r>
      <w:r>
        <w:rPr>
          <w:u w:val="single"/>
        </w:rPr>
        <w:t xml:space="preserve">federally recognized tribal governments,</w:t>
      </w:r>
      <w:r>
        <w:rPr/>
        <w:t xml:space="preserve">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more than one hundred kilowatts of direct current generating capacity.</w:t>
      </w:r>
    </w:p>
    <w:p>
      <w:pPr>
        <w:spacing w:before="0" w:after="0" w:line="408" w:lineRule="exact"/>
        <w:ind w:left="0" w:right="0" w:firstLine="576"/>
        <w:jc w:val="left"/>
      </w:pPr>
      <w:r>
        <w:rPr/>
        <w:t xml:space="preserve">(c) Except as provided in (d) of this subsection,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the first phase of a project which, when fully deployed, will reduce emissions of greenhouse gases by a minimum of seven hundred fifty thousand tons per year, increase energy efficiency, and protect or create aluminum manufacturing jobs located in Whatcom county.</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(10)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7003</w:t>
      </w:r>
      <w:r>
        <w:rPr/>
        <w:t xml:space="preserve"> (uncodified) is amended to read as follows: </w:t>
      </w:r>
    </w:p>
    <w:p>
      <w:pPr>
        <w:spacing w:before="0" w:after="0" w:line="408" w:lineRule="exact"/>
        <w:ind w:left="0" w:right="0" w:firstLine="576"/>
        <w:jc w:val="left"/>
      </w:pPr>
      <w:r>
        <w:rPr/>
        <w:t xml:space="preserve">(1) To ensure that major construction projects are carried out in accordance with legislative and executive intent, agencies must complete a predesign for state construction projects with a total anticipated cost in excess of </w:t>
      </w:r>
      <w:r>
        <w:t>((</w:t>
      </w:r>
      <w:r>
        <w:rPr>
          <w:strike/>
        </w:rPr>
        <w:t xml:space="preserve">$5,000,000, or</w:t>
      </w:r>
      <w:r>
        <w:t>))</w:t>
      </w:r>
      <w:r>
        <w:rPr/>
        <w:t xml:space="preserve"> $10,000,000 </w:t>
      </w:r>
      <w:r>
        <w:t>((</w:t>
      </w:r>
      <w:r>
        <w:rPr>
          <w:strike/>
        </w:rPr>
        <w:t xml:space="preserve">for higher education institutions</w:t>
      </w:r>
      <w:r>
        <w:t>))</w:t>
      </w:r>
      <w:r>
        <w:rPr/>
        <w:t xml:space="preserve">.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w:t>
      </w:r>
      <w:r>
        <w:rPr>
          <w:u w:val="single"/>
        </w:rPr>
        <w:t xml:space="preserve">some or all of</w:t>
      </w:r>
      <w:r>
        <w:rPr/>
        <w:t xml:space="preserve"> the predesign requirements in this section </w:t>
      </w:r>
      <w:r>
        <w:t>((</w:t>
      </w:r>
      <w:r>
        <w:rPr>
          <w:strike/>
        </w:rPr>
        <w:t xml:space="preserve">after notifying the legislative fiscal committees and waiting ten days for comment by the legislature regarding the proposed exception</w:t>
      </w:r>
      <w:r>
        <w:t>))</w:t>
      </w:r>
      <w:r>
        <w:rPr/>
        <w:t xml:space="preserve">. </w:t>
      </w:r>
      <w:r>
        <w:rPr>
          <w:u w:val="single"/>
        </w:rPr>
        <w:t xml:space="preserve">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Substitute House Bill No. 2936 (predesign) is not enacted by June 30, 2020, section 7003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2006 c 371 s 235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w:t>
      </w:r>
      <w:r>
        <w:rPr>
          <w:u w:val="single"/>
        </w:rPr>
        <w:t xml:space="preserve">, except that lists submitted during the 2019-2021 fiscal biennium may not exceed sixteen million dollars</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w:t>
      </w:r>
      <w:r>
        <w:rPr>
          <w:u w:val="single"/>
        </w:rPr>
        <w:t xml:space="preserve">, or thirty-three and one-third percent for lists submitted during the 2019-2021 fiscal biennium,</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7038</w:t>
      </w:r>
      <w:r>
        <w:rPr/>
        <w:t xml:space="preserve"> (uncodified) is amended to read as follows: </w:t>
      </w:r>
    </w:p>
    <w:p>
      <w:pPr>
        <w:spacing w:before="0" w:after="0" w:line="408" w:lineRule="exact"/>
        <w:ind w:left="0" w:right="0" w:firstLine="576"/>
        <w:jc w:val="left"/>
      </w:pPr>
      <w:r>
        <w:rPr/>
        <w:t xml:space="preserve">UNIVERSITY OF WASHINGTON TRANSFER TO SEATTLE.</w:t>
      </w:r>
    </w:p>
    <w:p>
      <w:pPr>
        <w:spacing w:before="0" w:after="0" w:line="408" w:lineRule="exact"/>
        <w:ind w:left="0" w:right="0" w:firstLine="576"/>
        <w:jc w:val="left"/>
      </w:pPr>
      <w:r>
        <w:rPr/>
        <w:t xml:space="preserve">By June 30, 2020, the University of Washington must transfer the deed of the property and general purpose facility, King County parcel number</w:t>
      </w:r>
      <w:r>
        <w:rPr>
          <w:u w:val="single"/>
        </w:rPr>
        <w:t xml:space="preserve">s</w:t>
      </w:r>
      <w:r>
        <w:rPr/>
        <w:t xml:space="preserve"> 308500-2100, </w:t>
      </w:r>
      <w:r>
        <w:rPr>
          <w:u w:val="single"/>
        </w:rPr>
        <w:t xml:space="preserve">713830-0015, and 713880-0025,</w:t>
      </w:r>
      <w:r>
        <w:rPr/>
        <w:t xml:space="preserve"> located </w:t>
      </w:r>
      <w:r>
        <w:t>((</w:t>
      </w:r>
      <w:r>
        <w:rPr>
          <w:strike/>
        </w:rPr>
        <w:t xml:space="preserve">at</w:t>
      </w:r>
      <w:r>
        <w:t>))</w:t>
      </w:r>
      <w:r>
        <w:rPr/>
        <w:t xml:space="preserve"> </w:t>
      </w:r>
      <w:r>
        <w:rPr>
          <w:u w:val="single"/>
        </w:rPr>
        <w:t xml:space="preserve">near</w:t>
      </w:r>
      <w:r>
        <w:rPr/>
        <w:t xml:space="preserve"> 2901 27th Avenue South, Seattle, to the city of Seattle for the purposes of developing affordable housing</w:t>
      </w:r>
      <w:r>
        <w:rPr>
          <w:u w:val="single"/>
        </w:rPr>
        <w:t xml:space="preserve">, including supportive housing,</w:t>
      </w:r>
      <w:r>
        <w:rPr/>
        <w:t xml:space="preserve"> for households at or below eighty percent of the area median income and </w:t>
      </w:r>
      <w:r>
        <w:t>((</w:t>
      </w:r>
      <w:r>
        <w:rPr>
          <w:strike/>
        </w:rPr>
        <w:t xml:space="preserve">providing health care services in partnership with a public hospital system</w:t>
      </w:r>
      <w:r>
        <w:t>))</w:t>
      </w:r>
      <w:r>
        <w:rPr/>
        <w:t xml:space="preserve"> </w:t>
      </w:r>
      <w:r>
        <w:rPr>
          <w:u w:val="single"/>
        </w:rPr>
        <w:t xml:space="preserve">for other potential educational, research, and clinical uses by the university, including an early learning facility</w:t>
      </w:r>
      <w:r>
        <w:rPr/>
        <w:t xml:space="preserve">. </w:t>
      </w:r>
      <w:r>
        <w:t>((</w:t>
      </w:r>
      <w:r>
        <w:rPr>
          <w:strike/>
        </w:rPr>
        <w:t xml:space="preserve">The University of Washington may reserve easements in the transferred property at no cost to the university.</w:t>
      </w:r>
      <w:r>
        <w:t>))</w:t>
      </w:r>
      <w:r>
        <w:rPr/>
        <w:t xml:space="preserve"> </w:t>
      </w:r>
      <w:r>
        <w:rPr>
          <w:u w:val="single"/>
        </w:rPr>
        <w:t xml:space="preserve">If the university constructs and occupies space for its potential uses on the transferred property, then such space must be occupied at no base rent paid by the university.</w:t>
      </w:r>
      <w:r>
        <w:rPr/>
        <w:t xml:space="preserve"> The transfer shall count toward the </w:t>
      </w:r>
      <w:r>
        <w:t>((</w:t>
      </w:r>
      <w:r>
        <w:rPr>
          <w:strike/>
        </w:rPr>
        <w:t xml:space="preserve">obligation</w:t>
      </w:r>
      <w:r>
        <w:t>))</w:t>
      </w:r>
      <w:r>
        <w:rPr/>
        <w:t xml:space="preserve"> </w:t>
      </w:r>
      <w:r>
        <w:rPr>
          <w:u w:val="single"/>
        </w:rPr>
        <w:t xml:space="preserve">commitment</w:t>
      </w:r>
      <w:r>
        <w:rPr/>
        <w:t xml:space="preserve"> to build affordable housing under the university's institutional campus master plan agreement. </w:t>
      </w:r>
      <w:r>
        <w:rPr>
          <w:u w:val="single"/>
        </w:rPr>
        <w:t xml:space="preserve">The city shall seek to maximize the affordable housing development potential of the property consistent with transit-oriented development principles.</w:t>
      </w:r>
      <w:r>
        <w:rPr/>
        <w:t xml:space="preserve"> Liabilities existing on the property at the time of transfer will transfer with the property. When the deed is transferred to the city, any existing leases of the property expire</w:t>
      </w:r>
      <w:r>
        <w:rPr>
          <w:u w:val="single"/>
        </w:rPr>
        <w:t xml:space="preserve">, except those leases that the university and city have agreed to extend beyond the transfer date</w:t>
      </w:r>
      <w:r>
        <w:rPr/>
        <w:t xml:space="preserve">. The transfer must be at no cost to the city. </w:t>
      </w:r>
      <w:r>
        <w:rPr>
          <w:u w:val="single"/>
        </w:rPr>
        <w:t xml:space="preserve">As a condition of the transfer, the city of Seattle may only transfer the property to a nonprofit corporation or a unit of state or local government. For purposes of this section, a nonprofit corporation includes a:</w:t>
      </w:r>
    </w:p>
    <w:p>
      <w:pPr>
        <w:spacing w:before="0" w:after="0" w:line="408" w:lineRule="exact"/>
        <w:ind w:left="0" w:right="0" w:firstLine="576"/>
        <w:jc w:val="left"/>
      </w:pPr>
      <w:r>
        <w:rPr>
          <w:u w:val="single"/>
        </w:rPr>
        <w:t xml:space="preserve">(1)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or</w:t>
      </w:r>
    </w:p>
    <w:p>
      <w:pPr>
        <w:spacing w:before="0" w:after="0" w:line="408" w:lineRule="exact"/>
        <w:ind w:left="0" w:right="0" w:firstLine="576"/>
        <w:jc w:val="left"/>
      </w:pPr>
      <w:r>
        <w:rPr>
          <w:u w:val="single"/>
        </w:rPr>
        <w:t xml:space="preserve">(2) Limited partnership or limited liability limited partnership where a nonprofit as defined in subsection (1) of this section is a general partner or a member of a single purpose entity serving as a general partner, in which all of the members meet the definition of subsection (1) of this section; or</w:t>
      </w:r>
    </w:p>
    <w:p>
      <w:pPr>
        <w:spacing w:before="0" w:after="0" w:line="408" w:lineRule="exact"/>
        <w:ind w:left="0" w:right="0" w:firstLine="576"/>
        <w:jc w:val="left"/>
      </w:pPr>
      <w:r>
        <w:rPr>
          <w:u w:val="single"/>
        </w:rPr>
        <w:t xml:space="preserve">(3) Limited liability company where a nonprofit as defined in subsection (1) of this section is a managing member or a member of a single purpose entity serving as a managing member in which all of the members meet the definition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65d6f13aee4d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eeab4082d4fc0" /><Relationship Type="http://schemas.openxmlformats.org/officeDocument/2006/relationships/footer" Target="/word/footer1.xml" Id="Rb065d6f13aee4dcc" /></Relationships>
</file>