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14829bd1fe4f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6617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6617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Liias and Das)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 regulation;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 Accessory dwelling units are frequently rented at below market rate, providing additional affordable housing options for renters.</w:t>
      </w:r>
    </w:p>
    <w:p>
      <w:pPr>
        <w:spacing w:before="0" w:after="0" w:line="408" w:lineRule="exact"/>
        <w:ind w:left="0" w:right="0" w:firstLine="576"/>
        <w:jc w:val="left"/>
      </w:pPr>
      <w:r>
        <w:rPr/>
        <w:t xml:space="preserve">(b)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scarce subsidized housing space and resources.</w:t>
      </w:r>
    </w:p>
    <w:p>
      <w:pPr>
        <w:spacing w:before="0" w:after="0" w:line="408" w:lineRule="exact"/>
        <w:ind w:left="0" w:right="0" w:firstLine="576"/>
        <w:jc w:val="left"/>
      </w:pPr>
      <w:r>
        <w:rPr/>
        <w:t xml:space="preserve">(c)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(d) Homeowners who add an accessory dwelling unit may benefit from added income and an increased sense of security.</w:t>
      </w:r>
    </w:p>
    <w:p>
      <w:pPr>
        <w:spacing w:before="0" w:after="0" w:line="408" w:lineRule="exact"/>
        <w:ind w:left="0" w:right="0" w:firstLine="576"/>
        <w:jc w:val="left"/>
      </w:pPr>
      <w:r>
        <w:rPr/>
        <w:t xml:space="preserve">(e)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(5)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(6)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fifteen minutes during the peak hours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must adopt or amend by ordinance, and incorporate into their development regulations, zoning regulations, and other official controls the requirements of section 4 of this act to take effect by July 1, 2021.</w:t>
      </w:r>
    </w:p>
    <w:p>
      <w:pPr>
        <w:spacing w:before="0" w:after="0" w:line="408" w:lineRule="exact"/>
        <w:ind w:left="0" w:right="0" w:firstLine="576"/>
        <w:jc w:val="left"/>
      </w:pPr>
      <w:r>
        <w:rPr/>
        <w:t xml:space="preserve">(2) Beginning July 1, 2021, the requirements of section 4 of this act:</w:t>
      </w:r>
    </w:p>
    <w:p>
      <w:pPr>
        <w:spacing w:before="0" w:after="0" w:line="408" w:lineRule="exact"/>
        <w:ind w:left="0" w:right="0" w:firstLine="576"/>
        <w:jc w:val="left"/>
      </w:pPr>
      <w:r>
        <w:rPr/>
        <w:t xml:space="preserve">(a)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subsection (2) and (3) of this section, through ordinances, development regulations, zoning regulations, and other official controls as required under section 3 of this act, cities may not require the provision of off-street parking for accessory dwelling units within one-quarter mile of a major transit stop.</w:t>
      </w:r>
    </w:p>
    <w:p>
      <w:pPr>
        <w:spacing w:before="0" w:after="0" w:line="408" w:lineRule="exact"/>
        <w:ind w:left="0" w:right="0" w:firstLine="576"/>
        <w:jc w:val="left"/>
      </w:pPr>
      <w:r>
        <w:rPr/>
        <w:t xml:space="preserve">(2)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rPr/>
        <w:t xml:space="preserve">(3) A city that has adopted or substantively amended accessory dwelling unit regulations within the four years previous to the effective date of this section is not subject to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Nothing in this act modifies or limits any rights or interests legally recorded in the governing documents of associations subject to chapter 64.32, 64.34, 64.38, or 64.90 RCW.</w:t>
      </w:r>
    </w:p>
    <w:p/>
    <w:p>
      <w:pPr>
        <w:jc w:val="center"/>
      </w:pPr>
      <w:r>
        <w:rPr>
          <w:b/>
        </w:rPr>
        <w:t>--- END ---</w:t>
      </w:r>
    </w:p>
    <w:sectPr>
      <w:pgNumType w:start="1"/>
      <w:footerReference xmlns:r="http://schemas.openxmlformats.org/officeDocument/2006/relationships" r:id="Rc940731e4a8a43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20680ea2ac45f2" /><Relationship Type="http://schemas.openxmlformats.org/officeDocument/2006/relationships/footer" Target="/word/footer1.xml" Id="Rc940731e4a8a43b1" /></Relationships>
</file>