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46876cd4b84d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1377</w:t>
      </w:r>
    </w:p>
    <w:p>
      <w:pPr>
        <w:jc w:val="center"/>
        <w:spacing w:before="480" w:after="0" w:line="240"/>
      </w:pPr>
      <w:r>
        <w:t xml:space="preserve">Chapter </w:t>
      </w:r>
      <w:r>
        <w:rPr/>
        <w:t xml:space="preserve">218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AFFORDABLE HOUSING DEVELOPMENT ON RELIGIOUS ORGANIZATION PROPERTY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85</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Walen, Barkis, Jenkin, Harris, Springer, Macri, Wylie, Ryu, Reeves, Robinson, Griffey, Appleton, Bergquist, Jinkins, Tharinger, Slatter, Kloba, Doglio, Goodman, Leavitt, Ormsby, and Santos)</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development on religious organization property; adding a new section to chapter 35.63 RCW; adding a new section to chapter 35A.63 RCW; adding a new section to chapter 36.70A RCW; and adding a new section to chapter 44.28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35.21.915.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This section applies to any religious organization rehabilitating an existing affordable housing development.</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or county fully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fifty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 city or county may develop policies to implement this section if it receives a request from a religious organization for an increased density bonus for an affordable housing development.</w:t>
      </w:r>
    </w:p>
    <w:p>
      <w:pPr>
        <w:spacing w:before="0" w:after="0" w:line="408" w:lineRule="exact"/>
        <w:ind w:left="0" w:right="0" w:firstLine="576"/>
        <w:jc w:val="left"/>
      </w:pPr>
      <w:r>
        <w:rPr/>
        <w:t xml:space="preserve">(3) An affordable housing development created by a religious institution within a city or county fully planning under RCW 36.70A.040 must be located within an urban growth area as defined in RCW 36.70A.110.</w:t>
      </w:r>
    </w:p>
    <w:p>
      <w:pPr>
        <w:spacing w:before="0" w:after="0" w:line="408" w:lineRule="exact"/>
        <w:ind w:left="0" w:right="0" w:firstLine="576"/>
        <w:jc w:val="left"/>
      </w:pPr>
      <w:r>
        <w:rPr/>
        <w:t xml:space="preserve">(4)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(5) If applicable,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(6) This section applies to any religious organization rehabilitating an existing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36.01.290.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review the efficacy of the increased density bonus incentive for affordable housing development located on property owned by a religious organization pursuant to this act and report its findings to the appropriate committees of the legislature by December 1, 2030. The review must include a recommendation on whether this incentive should be continued without change or should be amended or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313edaa8a07d498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d9d63b81d40e3" /><Relationship Type="http://schemas.openxmlformats.org/officeDocument/2006/relationships/footer" Target="/word/footer1.xml" Id="R313edaa8a07d4986" /></Relationships>
</file>