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887b599304d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1462</w:t>
      </w:r>
    </w:p>
    <w:p>
      <w:pPr>
        <w:jc w:val="center"/>
        <w:spacing w:before="480" w:after="0" w:line="240"/>
      </w:pPr>
      <w:r>
        <w:t xml:space="preserve">Chapter </w:t>
      </w:r>
      <w:r>
        <w:rPr/>
        <w:t xml:space="preserve">339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LANDLORD NOTICE TO TENANT--DEMOLISH, REHABILITATE, OR CHANGE USE OF RESIDENTIAL PROPERTY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Barkis, Reeves, Kirby, Riccelli, Jenkin, Stokesbary, Gildon, Walsh, Chambers, Dye, Hoff, Volz, and Irwin</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of plans to demolish, substantially rehabilitate, or change use of residential premises; amending RCW 59.18.200;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u w:val="single"/>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u w:val="single"/>
        </w:rPr>
        <w:t xml:space="preserve">(ii) For purposes of this subsection (2)(c):</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u w:val="single"/>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u w:val="single"/>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u w:val="single"/>
        </w:rPr>
        <w:t xml:space="preserve">(3) A person in violation of subsection (2)(c)(i) of this section may be held liable in a civil action up to three times the monthly rent of the real property at issue. The prevailing party may also recover court costs and reasonable attorneys' fees.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a6c4018a18ba45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c1a291ded415a" /><Relationship Type="http://schemas.openxmlformats.org/officeDocument/2006/relationships/footer" Target="/word/footer1.xml" Id="Ra6c4018a18ba4573" /></Relationships>
</file>