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f2c4e59314c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1465</w:t>
      </w:r>
    </w:p>
    <w:p>
      <w:pPr>
        <w:jc w:val="center"/>
        <w:spacing w:before="480" w:after="0" w:line="240"/>
      </w:pPr>
      <w:r>
        <w:t xml:space="preserve">Chapter </w:t>
      </w:r>
      <w:r>
        <w:rPr/>
        <w:t xml:space="preserve">244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PISTOL SALES AND TRANSFERS--CONCEALED PISTOL LICENSE HOLDERS</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56</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1465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1465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Goodman, Jinkins, and Santos</w:t>
      </w:r>
    </w:p>
    <w:p/>
    <w:p>
      <w:r>
        <w:rPr>
          <w:t xml:space="preserve">Read first time 01/22/19.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pistol sales or transfers; amending RCW 9.41.090; adding a new section to chapter 43.43 RCW;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w:t>
      </w:r>
      <w:r>
        <w:t>((</w:t>
      </w:r>
      <w:r>
        <w:rPr>
          <w:strike/>
        </w:rPr>
        <w:t xml:space="preserve">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strike/>
        </w:rPr>
        <w:t xml:space="preserve">(b)</w:t>
      </w:r>
      <w:r>
        <w:t>))</w:t>
      </w:r>
      <w:r>
        <w:rPr/>
        <w:t xml:space="preserve">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gun storage and talking to children about gun safety;</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gun storage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Section 1 of this act expires June 30, 2022, if the contingency in subsection (2) of this section does not occur by December 31, 2021, as determined by the Washington state patrol.</w:t>
      </w:r>
    </w:p>
    <w:p>
      <w:pPr>
        <w:spacing w:before="0" w:after="0" w:line="408" w:lineRule="exact"/>
        <w:ind w:left="0" w:right="0" w:firstLine="576"/>
        <w:jc w:val="left"/>
      </w:pPr>
      <w:r>
        <w:rPr/>
        <w:t xml:space="preserve">(2) Section 1 of this act expires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(3) If section 1 of this act expires pursuant to subsection (2) of this section, the Washington state patrol must provide written notice of the expiration to the chief clerk of the house of representatives, the secretary of the senate, the office of the code reviser, and others as deemed appropriate by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f667b695e7f45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84ca8dca9487d" /><Relationship Type="http://schemas.openxmlformats.org/officeDocument/2006/relationships/footer" Target="/word/footer1.xml" Id="Rdf667b695e7f455c" /></Relationships>
</file>