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a5f420a4d4e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1532</w:t>
      </w:r>
    </w:p>
    <w:p>
      <w:pPr>
        <w:jc w:val="center"/>
        <w:spacing w:before="480" w:after="0" w:line="240"/>
      </w:pPr>
      <w:r>
        <w:t xml:space="preserve">Chapter </w:t>
      </w:r>
      <w:r>
        <w:rPr/>
        <w:t xml:space="preserve">110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TRAUMATIC BRAIN INJURY--DOMESTIC VIOLENCE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4:09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1532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Mosbrucker, Pettigrew, Dye, Goodman, Griffey, Walsh, Eslick, Corry, Graham, Kraft, Appleton, Senn, Shea, Stanford, Valdez, Kloba, Leavitt,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traumatic brain injuries in domestic violence cases; amending RCW 10.99.030; and adding a new section to chapter 74.31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council and at least one representative of a community-based domestic violence program and one medical professional with experience treating survivors of domestic violence, shall develop recommendations to improve the statewide response to traumatic brain injuries suffered by domestic violence survivors. In developing recommendations, the department may consider the creation of an educational handout, to be updated on a periodic basis, regarding traumatic brain injury to be provided to victims of domestic violence. The handout may include the information and screening tool described in subsection (2) of this section.</w:t>
      </w:r>
    </w:p>
    <w:p>
      <w:pPr>
        <w:spacing w:before="0" w:after="0" w:line="408" w:lineRule="exact"/>
        <w:ind w:left="0" w:right="0" w:firstLine="576"/>
        <w:jc w:val="left"/>
      </w:pPr>
      <w:r>
        <w:rPr/>
        <w:t xml:space="preserve">(2)(a) The department, in consultation with the council, shall establish and recommend or develop content for a statewide web site for victims of domestic violence to include:</w:t>
      </w:r>
    </w:p>
    <w:p>
      <w:pPr>
        <w:spacing w:before="0" w:after="0" w:line="408" w:lineRule="exact"/>
        <w:ind w:left="0" w:right="0" w:firstLine="576"/>
        <w:jc w:val="left"/>
      </w:pPr>
      <w:r>
        <w:rPr/>
        <w:t xml:space="preserve">(i) An explanation of the potential for domestic abuse to lead to traumatic brain injury;</w:t>
      </w:r>
    </w:p>
    <w:p>
      <w:pPr>
        <w:spacing w:before="0" w:after="0" w:line="408" w:lineRule="exact"/>
        <w:ind w:left="0" w:right="0" w:firstLine="576"/>
        <w:jc w:val="left"/>
      </w:pPr>
      <w:r>
        <w:rPr/>
        <w:t xml:space="preserve">(ii) Information on recognizing cognitive, behavioral, and physical symptoms of traumatic brain injury as well as potential impacts to a person's emotional well-being and mental health;</w:t>
      </w:r>
    </w:p>
    <w:p>
      <w:pPr>
        <w:spacing w:before="0" w:after="0" w:line="408" w:lineRule="exact"/>
        <w:ind w:left="0" w:right="0" w:firstLine="576"/>
        <w:jc w:val="left"/>
      </w:pPr>
      <w:r>
        <w:rPr/>
        <w:t xml:space="preserve">(iii) A self-screening tool for traumatic brain injury; and</w:t>
      </w:r>
    </w:p>
    <w:p>
      <w:pPr>
        <w:spacing w:before="0" w:after="0" w:line="408" w:lineRule="exact"/>
        <w:ind w:left="0" w:right="0" w:firstLine="576"/>
        <w:jc w:val="left"/>
      </w:pPr>
      <w:r>
        <w:rPr/>
        <w:t xml:space="preserve">(iv) Recommendations for persons with traumatic brain injury to help address or cope with the injury.</w:t>
      </w:r>
    </w:p>
    <w:p>
      <w:pPr>
        <w:spacing w:before="0" w:after="0" w:line="408" w:lineRule="exact"/>
        <w:ind w:left="0" w:right="0" w:firstLine="576"/>
        <w:jc w:val="left"/>
      </w:pPr>
      <w:r>
        <w:rPr/>
        <w:t xml:space="preserve">(b) The department must update the web site created under this subsection on a periodic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r>
        <w:rPr>
          <w:u w:val="single"/>
        </w:rPr>
        <w:t xml:space="preserve">; and</w:t>
      </w:r>
    </w:p>
    <w:p>
      <w:pPr>
        <w:spacing w:before="120" w:after="0" w:line="408" w:lineRule="exact"/>
        <w:ind w:left="0" w:right="0" w:firstLine="576"/>
        <w:jc w:val="left"/>
      </w:pPr>
      <w:r>
        <w:rPr>
          <w:u w:val="single"/>
        </w:rPr>
        <w:t xml:space="preserve">(b) The officer is encouraged to inform victims that information on traumatic brain injury can be found on the statewide web site developed under section 1 of this act.</w:t>
      </w:r>
    </w:p>
    <w:p>
      <w:pPr>
        <w:spacing w:before="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51fac4d6eb2a46a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535c1cfdf4355" /><Relationship Type="http://schemas.openxmlformats.org/officeDocument/2006/relationships/footer" Target="/word/footer1.xml" Id="R51fac4d6eb2a46a4" /></Relationships>
</file>