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6ac6a9ae340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1534</w:t>
      </w:r>
    </w:p>
    <w:p>
      <w:pPr>
        <w:jc w:val="center"/>
        <w:spacing w:before="480" w:after="0" w:line="240"/>
      </w:pPr>
      <w:r>
        <w:t xml:space="preserve">Chapter </w:t>
      </w:r>
      <w:r>
        <w:rPr/>
        <w:t xml:space="preserve">116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MEDICAID PSYCHIATRIC PER DIEM PAYMENTS--CERTAIN HOSPITALS</w:t>
      </w:r>
    </w:p>
    <w:p>
      <w:pPr>
        <w:spacing w:before="720" w:after="240" w:line="240" w:lineRule="exact"/>
        <w:ind w:left="0" w:right="0" w:firstLine="0"/>
        <w:jc w:val="center"/>
      </w:pPr>
      <w:r>
        <w:t xml:space="preserve">EFFECTIVE DATE: </w:t>
      </w:r>
      <w:r>
        <w:rPr/>
        <w:t xml:space="preserve">April 24,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Dufault, Cody, Chandler, Mosbrucker, Chapman, Corry, Leavitt, and Steele</w:t>
      </w:r>
    </w:p>
    <w:p/>
    <w:p>
      <w:r>
        <w:rPr>
          <w:t xml:space="preserve">Read first time 01/23/19.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psychiatric payments under medical assistance programs for certain rural hospitals that are not designated as critical access hospitals, do not participate in the certified public expenditure program, have less than fifty acute care beds, and have combined medicare and medicaid inpatient days greater than fifty percent of total days;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Psychiatric per diem payments for recipients eligible for medical assistance programs under chapter 74.09 RCW for services provided by a hospital, regardless of the beneficiary's managed care enrollment status, must be increased on or after the effective date of this section, sufficiently to ensure that services are provided. Increased psychiatric per diem payments under this section are effective from the effective date of this section through June 30, 2019, and apply only when services are provided by a hospital that:</w:t>
      </w:r>
    </w:p>
    <w:p>
      <w:pPr>
        <w:spacing w:before="0" w:after="0" w:line="408" w:lineRule="exact"/>
        <w:ind w:left="0" w:right="0" w:firstLine="576"/>
        <w:jc w:val="left"/>
      </w:pPr>
      <w:r>
        <w:rPr/>
        <w:t xml:space="preserve">(a) Is designated as a rural hospital by the department of health;</w:t>
      </w:r>
    </w:p>
    <w:p>
      <w:pPr>
        <w:spacing w:before="0" w:after="0" w:line="408" w:lineRule="exact"/>
        <w:ind w:left="0" w:right="0" w:firstLine="576"/>
        <w:jc w:val="left"/>
      </w:pPr>
      <w:r>
        <w:rPr/>
        <w:t xml:space="preserve">(b) Has less than fifty staffed acute care beds, as reported in the hospital's 2017 department of health year-end report;</w:t>
      </w:r>
    </w:p>
    <w:p>
      <w:pPr>
        <w:spacing w:before="0" w:after="0" w:line="408" w:lineRule="exact"/>
        <w:ind w:left="0" w:right="0" w:firstLine="576"/>
        <w:jc w:val="left"/>
      </w:pPr>
      <w:r>
        <w:rPr/>
        <w:t xml:space="preserve">(c)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t xml:space="preserve">(d) Is not currently participating in the certified public expenditure full cost reimbursement program; and</w:t>
      </w:r>
    </w:p>
    <w:p>
      <w:pPr>
        <w:spacing w:before="0" w:after="0" w:line="408" w:lineRule="exact"/>
        <w:ind w:left="0" w:right="0" w:firstLine="576"/>
        <w:jc w:val="left"/>
      </w:pPr>
      <w:r>
        <w:rPr/>
        <w:t xml:space="preserve">(e) Has combined medicare and medicaid inpatient days greater than fifty percent of total days, as reported in the hospital's 2017 cost report.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3f2771e27e9346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763fb274c4848" /><Relationship Type="http://schemas.openxmlformats.org/officeDocument/2006/relationships/footer" Target="/word/footer1.xml" Id="R3f2771e27e934699" /></Relationships>
</file>