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7bedd17234a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1661</w:t>
      </w:r>
    </w:p>
    <w:p>
      <w:pPr>
        <w:jc w:val="center"/>
        <w:spacing w:before="480" w:after="0" w:line="240"/>
      </w:pPr>
      <w:r>
        <w:t xml:space="preserve">Chapter </w:t>
      </w:r>
      <w:r>
        <w:rPr/>
        <w:t xml:space="preserve">103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HIGHER EDUCATION RETIREMENT PLANS--FUNDING</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Chandler and Ormsby)</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higher education retirement plans; amending RCW 28B.10.423, 41.45.050, 41.45.060, and 41.50.075; reenacting and amending RCW 43.84.092; adding a new section to chapter 41.50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Chapter 47, Laws of 2011 1st sp. sess. (Engrossed Substitute House Bill No. 1981) established a framework to allow the state's institutions of higher education to begin funding the unfunded portion of the defined benefit component of the higher education retirement plans.</w:t>
      </w:r>
    </w:p>
    <w:p>
      <w:pPr>
        <w:spacing w:before="0" w:after="0" w:line="408" w:lineRule="exact"/>
        <w:ind w:left="0" w:right="0" w:firstLine="576"/>
        <w:jc w:val="left"/>
      </w:pPr>
      <w:r>
        <w:rPr/>
        <w:t xml:space="preserve">(b) Moneys in the fund are being invested in short-term assets with low rates of return because there is no stated or clear pathway for when these funds will be used to pay benefits and that a stated strategy would allow these funds to be invested at a higher rate of return.</w:t>
      </w:r>
    </w:p>
    <w:p>
      <w:pPr>
        <w:spacing w:before="0" w:after="0" w:line="408" w:lineRule="exact"/>
        <w:ind w:left="0" w:right="0" w:firstLine="576"/>
        <w:jc w:val="left"/>
      </w:pPr>
      <w:r>
        <w:rPr/>
        <w:t xml:space="preserve">(c) The first actuarial analysis of the plans was completed in 2016, which provided information about projected future costs and potential institution specific rates that would allow benefits to be paid from the fund beginning in 2035.</w:t>
      </w:r>
    </w:p>
    <w:p>
      <w:pPr>
        <w:spacing w:before="0" w:after="0" w:line="408" w:lineRule="exact"/>
        <w:ind w:left="0" w:right="0" w:firstLine="576"/>
        <w:jc w:val="left"/>
      </w:pPr>
      <w:r>
        <w:rPr/>
        <w:t xml:space="preserve">(2) Therefore, the legislature intends the following:</w:t>
      </w:r>
    </w:p>
    <w:p>
      <w:pPr>
        <w:spacing w:before="0" w:after="0" w:line="408" w:lineRule="exact"/>
        <w:ind w:left="0" w:right="0" w:firstLine="576"/>
        <w:jc w:val="left"/>
      </w:pPr>
      <w:r>
        <w:rPr/>
        <w:t xml:space="preserve">(a) To establish institution specific contribution rates for each institutions of higher education supplemental benefit plan.</w:t>
      </w:r>
    </w:p>
    <w:p>
      <w:pPr>
        <w:spacing w:before="0" w:after="0" w:line="408" w:lineRule="exact"/>
        <w:ind w:left="0" w:right="0" w:firstLine="576"/>
        <w:jc w:val="left"/>
      </w:pPr>
      <w:r>
        <w:rPr/>
        <w:t xml:space="preserve">(b) The pension funding council will adjust the institution specific rates periodically based on updated experience and actuarial analyses to maintain progress towards funding the actuarial liabilities of each institution and to allow payment from the funds by 2035.</w:t>
      </w:r>
    </w:p>
    <w:p>
      <w:pPr>
        <w:spacing w:before="0" w:after="0" w:line="408" w:lineRule="exact"/>
        <w:ind w:left="0" w:right="0" w:firstLine="576"/>
        <w:jc w:val="left"/>
      </w:pPr>
      <w:r>
        <w:rPr/>
        <w:t xml:space="preserve">(c) Future contribution rates represent the cost of paying on a combined prefunded and pay-as-you-go basis in a way that reduces the year-to-year changes in cost that the higher education retirement plan supplemental benefit has under current law.</w:t>
      </w:r>
    </w:p>
    <w:p>
      <w:pPr>
        <w:spacing w:before="0" w:after="0" w:line="408" w:lineRule="exact"/>
        <w:ind w:left="0" w:right="0" w:firstLine="576"/>
        <w:jc w:val="left"/>
      </w:pPr>
      <w:r>
        <w:rPr/>
        <w:t xml:space="preserve">(d) The department of retirement systems assumes responsibility for administering the higher education retirement plan supplemental benefit fund when sufficient assets have been accumulated, as determined by the pension funding council.</w:t>
      </w:r>
    </w:p>
    <w:p>
      <w:pPr>
        <w:spacing w:before="0" w:after="0" w:line="408" w:lineRule="exact"/>
        <w:ind w:left="0" w:right="0" w:firstLine="576"/>
        <w:jc w:val="left"/>
      </w:pPr>
      <w:r>
        <w:rPr/>
        <w:t xml:space="preserve">(e) When sufficient funding has been accumulated to begin making benefit payments that the payments be made solely from that institution's portion of the higher education retirement plan supplemental benefit fund.</w:t>
      </w:r>
    </w:p>
    <w:p>
      <w:pPr>
        <w:spacing w:before="0" w:after="0" w:line="408" w:lineRule="exact"/>
        <w:ind w:left="0" w:right="0" w:firstLine="576"/>
        <w:jc w:val="left"/>
      </w:pPr>
      <w:r>
        <w:rPr/>
        <w:t xml:space="preserve">(f) That moneys in the fund be invested in a way to maximize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w:t>
      </w:r>
      <w:r>
        <w:t>((</w:t>
      </w:r>
      <w:r>
        <w:rPr>
          <w:strike/>
        </w:rPr>
        <w:t xml:space="preserve">A higher education retirement plan supplemental benefit fund is created in the custody of the state treasurer for the purpose of funding future benefit obligations of higher education retirement plan supplemental benefits. The state investment board has the full power to invest, reinvest, manage, contract, sell, or exchange investment money in the fund.</w:t>
      </w:r>
    </w:p>
    <w:p>
      <w:pPr>
        <w:spacing w:before="0" w:after="0" w:line="408" w:lineRule="exact"/>
        <w:ind w:left="0" w:right="0" w:firstLine="576"/>
        <w:jc w:val="left"/>
      </w:pPr>
      <w:r>
        <w:rPr>
          <w:strike/>
        </w:rPr>
        <w:t xml:space="preserve">(b)</w:t>
      </w:r>
      <w:r>
        <w:t>))</w:t>
      </w:r>
      <w:r>
        <w:rPr/>
        <w:t xml:space="preserve">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u w:val="single"/>
        </w:rPr>
        <w:t xml:space="preserve">(i) Beginning July 1, 2020,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0.28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(e) of this subsection.</w:t>
      </w:r>
    </w:p>
    <w:p>
      <w:pPr>
        <w:spacing w:before="0" w:after="0" w:line="408" w:lineRule="exact"/>
        <w:ind w:left="0" w:right="0" w:firstLine="576"/>
        <w:jc w:val="left"/>
      </w:pPr>
      <w:r>
        <w:rPr>
          <w:u w:val="single"/>
        </w:rPr>
        <w:t xml:space="preserve">(iii) The rates in this subsection (4) are subject to the limit established in subsection (2) of this section.</w:t>
      </w:r>
    </w:p>
    <w:p>
      <w:pPr>
        <w:spacing w:before="0" w:after="0" w:line="408" w:lineRule="exact"/>
        <w:ind w:left="0" w:right="0" w:firstLine="576"/>
        <w:jc w:val="left"/>
      </w:pPr>
      <w:r>
        <w:rPr>
          <w:u w:val="single"/>
        </w:rPr>
        <w:t xml:space="preserve">(d)</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w:t>
      </w:r>
      <w:r>
        <w:rPr>
          <w:u w:val="single"/>
        </w:rPr>
        <w:t xml:space="preserve">under RCW 41.50.075(6)</w:t>
      </w:r>
      <w:r>
        <w:rPr/>
        <w:t xml:space="preserve">.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rPr/>
        <w:t xml:space="preserve">(e) Following the completion and review of the </w:t>
      </w:r>
      <w:r>
        <w:t>((</w:t>
      </w:r>
      <w:r>
        <w:rPr>
          <w:strike/>
        </w:rPr>
        <w:t xml:space="preserve">initial</w:t>
      </w:r>
      <w:r>
        <w:t>))</w:t>
      </w:r>
      <w:r>
        <w:rPr/>
        <w:t xml:space="preserve"> actuarial valuations and experience study conducted pursuant to subsection (3) of this section, the pension funding council may</w:t>
      </w:r>
      <w:r>
        <w:t>((</w:t>
      </w:r>
      <w:r>
        <w:rPr>
          <w:strike/>
        </w:rPr>
        <w:t xml:space="preserve">:</w:t>
      </w:r>
    </w:p>
    <w:p>
      <w:pPr>
        <w:spacing w:before="0" w:after="0" w:line="408" w:lineRule="exact"/>
        <w:ind w:left="0" w:right="0" w:firstLine="576"/>
        <w:jc w:val="left"/>
      </w:pPr>
      <w:r>
        <w:rPr>
          <w:strike/>
        </w:rPr>
        <w:t xml:space="preserve">(i) Adopt</w:t>
      </w:r>
      <w:r>
        <w:t>))</w:t>
      </w:r>
      <w:r>
        <w:rPr>
          <w:u w:val="single"/>
        </w:rPr>
        <w:t xml:space="preserve">, by July 31, 2020, and every two years thereafter, adopt</w:t>
      </w:r>
      <w:r>
        <w:rPr/>
        <w:t xml:space="preserve">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r>
        <w:t>((</w:t>
      </w:r>
      <w:r>
        <w:rPr>
          <w:strike/>
        </w:rPr>
        <w:t xml:space="preserve">;</w:t>
      </w:r>
    </w:p>
    <w:p>
      <w:pPr>
        <w:spacing w:before="0" w:after="0" w:line="408" w:lineRule="exact"/>
        <w:ind w:left="0" w:right="0" w:firstLine="576"/>
        <w:jc w:val="left"/>
      </w:pPr>
      <w:r>
        <w:rPr>
          <w:strike/>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r>
        <w:t>))</w:t>
      </w:r>
      <w:r>
        <w:rPr/>
        <w:t xml:space="preserve">.</w:t>
      </w:r>
    </w:p>
    <w:p>
      <w:pPr>
        <w:spacing w:before="0" w:after="0" w:line="408" w:lineRule="exact"/>
        <w:ind w:left="0" w:right="0" w:firstLine="576"/>
        <w:jc w:val="left"/>
      </w:pPr>
      <w:r>
        <w:rPr>
          <w:u w:val="single"/>
        </w:rPr>
        <w:t xml:space="preserve">(f)(i)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plus the cost of contributions to the higher education retirement plan supplemental benefit fund.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2035.</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higher education retirement plan supplemental benefit fund and amounts received from each institution accounted for separately and shall only be used to make benefit payments to the beneficiaries of that institution's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(6)(a)(i) There is hereby established in the state treasury the higher education retirement plan supplemental benefit fund. The higher education retirement plan supplemental benefit fund shall consist of all moneys paid to finance the benefits provided to members of each of the higher education retirement plans.</w:t>
      </w:r>
    </w:p>
    <w:p>
      <w:pPr>
        <w:spacing w:before="0" w:after="0" w:line="408" w:lineRule="exact"/>
        <w:ind w:left="0" w:right="0" w:firstLine="576"/>
        <w:jc w:val="left"/>
      </w:pPr>
      <w:r>
        <w:rPr>
          <w:u w:val="single"/>
        </w:rPr>
        <w:t xml:space="preserve">(ii) The fund in this subsection (6) was originally created under chapter 47, Laws of 2011 1st sp. sess. (Engrossed Substitute House Bill No. 1981).</w:t>
      </w:r>
    </w:p>
    <w:p>
      <w:pPr>
        <w:spacing w:before="0" w:after="0" w:line="408" w:lineRule="exact"/>
        <w:ind w:left="0" w:right="0" w:firstLine="576"/>
        <w:jc w:val="left"/>
      </w:pPr>
      <w:r>
        <w:rPr>
          <w:u w:val="single"/>
        </w:rPr>
        <w:t xml:space="preserve">(b) The office of financial management must create individual accounts for each institution of higher education within the higher education retirement plan supplemental benefit fund. For fiscal year 2021, the office of financial management must transfer all the assets of the higher education retirement plan supplemental benefit fund into the individual accounts for each institution that will be used to manage the accounting for each benefit plan. The higher education retirement plan supplemental benefit fund will include all the amounts in the individual accounts created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On the date that the department assumes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Upon the department's assumption of responsibility for making benefit payments from an institution's higher education retirement plan, the institution shall submit to the department the benefit level for current higher education retirement plan supplemental beneficiaries, and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w:t>
      </w:r>
      <w:r>
        <w:rPr>
          <w:u w:val="single"/>
        </w:rPr>
        <w:t xml:space="preserve">the higher education retirement plan supplemental benefit fund,</w:t>
      </w:r>
      <w:r>
        <w:rPr/>
        <w:t xml:space="preserve">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Passed by the Senate March 11,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09f4b4c7db9644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adf03f07a432c" /><Relationship Type="http://schemas.openxmlformats.org/officeDocument/2006/relationships/footer" Target="/word/footer1.xml" Id="R09f4b4c7db964499" /></Relationships>
</file>