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b18b0c29d45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1901</w:t>
      </w:r>
    </w:p>
    <w:p>
      <w:pPr>
        <w:jc w:val="center"/>
        <w:spacing w:before="480" w:after="0" w:line="240"/>
      </w:pPr>
      <w:r>
        <w:t xml:space="preserve">Chapter </w:t>
      </w:r>
      <w:r>
        <w:rPr/>
        <w:t xml:space="preserve">173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SAFETY BELTS--EXEMPTION FOR COMMERCIAL MOTOR VEHICLES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Lovick, Griffey, and Orwall; by request of Washington State Patrol</w:t>
      </w:r>
    </w:p>
    <w:p/>
    <w:p>
      <w:r>
        <w:rPr>
          <w:t xml:space="preserve">Read first time 02/05/19.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the use of safety belts; and reenacting and amending RCW 46.61.688.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w:t>
      </w:r>
      <w:r>
        <w:rPr>
          <w:u w:val="single"/>
        </w:rPr>
        <w:t xml:space="preserve">, except for an operator or passenger operating a commercial motor vehicle as defined in RCW 46.32.005,</w:t>
      </w:r>
      <w:r>
        <w:rPr/>
        <w:t xml:space="preserve">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36193147e6854f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e35dbafc94d9e" /><Relationship Type="http://schemas.openxmlformats.org/officeDocument/2006/relationships/footer" Target="/word/footer1.xml" Id="R36193147e6854f87" /></Relationships>
</file>