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78c5f5b8c41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1907</w:t>
      </w:r>
    </w:p>
    <w:p>
      <w:pPr>
        <w:jc w:val="center"/>
        <w:spacing w:before="480" w:after="0" w:line="240"/>
      </w:pPr>
      <w:r>
        <w:t xml:space="preserve">Chapter </w:t>
      </w:r>
      <w:r>
        <w:rPr/>
        <w:t xml:space="preserve">446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SUBSTANCE USE DISORDER TREATMENT SYSTEM--VARIOUS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5, 7, 9, 12, 15, 31, 33, 35, 38, 40, and 42, which become effective July 1, 2026; and sections 48 through 53,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Davis, Appleton, Doglio, Ryu, Goodman, and Jinkins)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substance use disorder treatment system; amending RCW 71.05.050, 71.05.150, 71.05.150, 71.05.153, 71.05.153, 71.05.210, 71.05.210, 71.05.220, 71.05.360, 71.05.760, 71.05.190, 71.05.180, 71.05.160, 71.05.157, 71.05.148, 71.24.037, 71.34.020, 71.34.375, 71.05.435, 71.34.410, 71.34.600, 71.34.660, 71.34.700, 71.34.700, 71.34.710, 71.34.710, 71.34.720, 71.34.720, 71.34.740, 71.34.740, 71.34.750, 71.34.780, 71.34.780, 18.130.175, 43.43.842, 18.130.055, and 18.19.210; reenacting and amending RCW 71.05.020, 71.05.240, 71.05.240, 71.05.590, 71.05.590, 71.05.120, 71.34.730, and 71.34.750; adding a new section to chapter 18.19 RCW; adding a new chapter to Title 70 RCW;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existing resources, the health care authority shall develop an addendum to the designated crisis responder statewide protocols adopted pursuant to RCW 71.05.214 in consultation with representatives of designated crisis responders, the department of social and health services, local government, law enforcement, county and city prosecutors, public defenders, and groups concerned with mental illness and substance use disorders. The addendum must update the current protocols to address the implementation of the integration of mental health and substance use disorder treatment systems, to include general processes for referrals and investigations of individuals with substance use disorders and the applicability of commitment criteria to individuals with substance use disorders. The authority shall adopt and submit the addendum to the governor and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w:t>
      </w:r>
      <w:r>
        <w:t>((</w:t>
      </w:r>
      <w:r>
        <w:rPr>
          <w:strike/>
        </w:rPr>
        <w:t xml:space="preserve">detoxification</w:t>
      </w:r>
      <w:r>
        <w:t>))</w:t>
      </w:r>
      <w:r>
        <w:rPr/>
        <w:t xml:space="preserve"> </w:t>
      </w:r>
      <w:r>
        <w:rPr>
          <w:u w:val="single"/>
        </w:rPr>
        <w:t xml:space="preserve">withdrawal management and stabilization</w:t>
      </w:r>
      <w:r>
        <w:rPr/>
        <w:t xml:space="preserve">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persons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2016 sp.s. c 29 s 207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subject to the availability of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 however, a person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2017 3rd sp.s. c 14 s 16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chemical dependency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chemical dependency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2016 sp.s. c 29 s 229 are each amended to read as follows:</w:t>
      </w:r>
    </w:p>
    <w:p>
      <w:pPr>
        <w:spacing w:before="0" w:after="0" w:line="408" w:lineRule="exact"/>
        <w:ind w:left="0" w:right="0" w:firstLine="576"/>
        <w:jc w:val="left"/>
      </w:pPr>
      <w:r>
        <w:rPr/>
        <w:t xml:space="preserve">At the time a person is involuntarily admitted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7 and 2018 c 201 s 3009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A court may only enter a commitment order based on a substance use disorder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2018 c 291 s 8 and 2018 c 201 s 3010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or substance use disorder, is in need of assisted outpatient behavioral health treatment, and that the person does not present a likelihood of serious harm or grave disability, the court shall order an appropriate less restrictive alternative course of treatment not to exceed ninety days.</w:t>
      </w:r>
    </w:p>
    <w:p>
      <w:pPr>
        <w:spacing w:before="0" w:after="0" w:line="408" w:lineRule="exact"/>
        <w:ind w:left="0" w:right="0" w:firstLine="576"/>
        <w:jc w:val="left"/>
      </w:pPr>
      <w:r>
        <w:rPr/>
        <w:t xml:space="preserve">(4)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(5)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2017 3rd sp.s. c 14 s 20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other professional person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9 and 2018 c 201 s 3026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2018 c 291 s 10 and 2018 c 201 s 3027 are each reenacted and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or near the county in which he or she is receiving outpatient treatment if the person is committed for mental health treatment, or, if the person is committed for substance use disorder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either is available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mental disorder or substance use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program under this subsection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authority.</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authority must ensure that at least one sixteen-bed secure </w:t>
      </w:r>
      <w:r>
        <w:t>((</w:t>
      </w:r>
      <w:r>
        <w:rPr>
          <w:strike/>
        </w:rPr>
        <w:t xml:space="preserve">detoxification</w:t>
      </w:r>
      <w:r>
        <w:t>))</w:t>
      </w:r>
      <w:r>
        <w:rPr/>
        <w:t xml:space="preserve"> </w:t>
      </w:r>
      <w:r>
        <w:rPr>
          <w:u w:val="single"/>
        </w:rPr>
        <w:t xml:space="preserve">withdrawal management and stabilization</w:t>
      </w:r>
      <w:r>
        <w:rPr/>
        <w:t xml:space="preserve"> facility is operational by April 1, 2018, and that at least two sixteen-bed secure </w:t>
      </w:r>
      <w:r>
        <w:t>((</w:t>
      </w:r>
      <w:r>
        <w:rPr>
          <w:strike/>
        </w:rPr>
        <w:t xml:space="preserve">detoxification</w:t>
      </w:r>
      <w:r>
        <w:t>))</w:t>
      </w:r>
      <w:r>
        <w:rPr/>
        <w:t xml:space="preserve"> </w:t>
      </w:r>
      <w:r>
        <w:rPr>
          <w:u w:val="single"/>
        </w:rPr>
        <w:t xml:space="preserve">withdrawal management and stabilization</w:t>
      </w:r>
      <w:r>
        <w:rPr/>
        <w:t xml:space="preserve"> facilities are operational by April 1, 2019.</w:t>
      </w:r>
    </w:p>
    <w:p>
      <w:pPr>
        <w:spacing w:before="0" w:after="0" w:line="408" w:lineRule="exact"/>
        <w:ind w:left="0" w:right="0" w:firstLine="576"/>
        <w:jc w:val="left"/>
      </w:pPr>
      <w:r>
        <w:rPr/>
        <w:t xml:space="preserve">(b) If, at any time during the implementation of secure </w:t>
      </w:r>
      <w:r>
        <w:t>((</w:t>
      </w:r>
      <w:r>
        <w:rPr>
          <w:strike/>
        </w:rPr>
        <w:t xml:space="preserve">detoxification</w:t>
      </w:r>
      <w:r>
        <w:t>))</w:t>
      </w:r>
      <w:r>
        <w:rPr/>
        <w:t xml:space="preserve"> </w:t>
      </w:r>
      <w:r>
        <w:rPr>
          <w:u w:val="single"/>
        </w:rPr>
        <w:t xml:space="preserve">withdrawal management and stabilization</w:t>
      </w:r>
      <w:r>
        <w:rPr/>
        <w:t xml:space="preserve"> facility capacity, federal funding becomes unavailable for federal match for services provided in secure </w:t>
      </w:r>
      <w:r>
        <w:t>((</w:t>
      </w:r>
      <w:r>
        <w:rPr>
          <w:strike/>
        </w:rPr>
        <w:t xml:space="preserve">detoxification</w:t>
      </w:r>
      <w:r>
        <w:t>))</w:t>
      </w:r>
      <w:r>
        <w:rPr/>
        <w:t xml:space="preserve"> </w:t>
      </w:r>
      <w:r>
        <w:rPr>
          <w:u w:val="single"/>
        </w:rPr>
        <w:t xml:space="preserve">withdrawal management and stabilization</w:t>
      </w:r>
      <w:r>
        <w:rPr/>
        <w:t xml:space="preserve"> facilities, then the authority must cease any expansion of secure </w:t>
      </w:r>
      <w:r>
        <w:t>((</w:t>
      </w:r>
      <w:r>
        <w:rPr>
          <w:strike/>
        </w:rPr>
        <w:t xml:space="preserve">detoxification</w:t>
      </w:r>
      <w:r>
        <w:t>))</w:t>
      </w:r>
      <w:r>
        <w:rPr/>
        <w:t xml:space="preserve"> </w:t>
      </w:r>
      <w:r>
        <w:rPr>
          <w:u w:val="single"/>
        </w:rPr>
        <w:t xml:space="preserve">withdrawal management and stabilization</w:t>
      </w:r>
      <w:r>
        <w:rPr/>
        <w:t xml:space="preserve">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2016 sp.s. c 29 s 220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2016 sp.s. c 29 s 219 are each amended to read as follows:</w:t>
      </w:r>
    </w:p>
    <w:p>
      <w:pPr>
        <w:spacing w:before="0" w:after="0" w:line="408" w:lineRule="exact"/>
        <w:ind w:left="0" w:right="0" w:firstLine="576"/>
        <w:jc w:val="left"/>
      </w:pPr>
      <w:r>
        <w:rPr/>
        <w:t xml:space="preserve">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2016 sp.s. c 29 s 217 are each amended to read as follows:</w:t>
      </w:r>
    </w:p>
    <w:p>
      <w:pPr>
        <w:spacing w:before="0" w:after="0" w:line="408" w:lineRule="exact"/>
        <w:ind w:left="0" w:right="0" w:firstLine="576"/>
        <w:jc w:val="left"/>
      </w:pPr>
      <w:r>
        <w:rPr/>
        <w:t xml:space="preserve">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2016 sp.s. c 29 s 216 are each amended to read as follows:</w:t>
      </w:r>
    </w:p>
    <w:p>
      <w:pPr>
        <w:spacing w:before="0" w:after="0" w:line="408" w:lineRule="exact"/>
        <w:ind w:left="0" w:right="0" w:firstLine="576"/>
        <w:jc w:val="left"/>
      </w:pP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2018 c 291 s 3 are each amended to read as follows:</w:t>
      </w:r>
    </w:p>
    <w:p>
      <w:pPr>
        <w:spacing w:before="0" w:after="0" w:line="408" w:lineRule="exact"/>
        <w:ind w:left="0" w:right="0" w:firstLine="576"/>
        <w:jc w:val="left"/>
      </w:pPr>
      <w:r>
        <w:rPr/>
        <w:t xml:space="preserve">This section establishes a process for initial evaluation and filing of a petition for assisted outpatient behavioral health treatment, but however does not preclude the filing of a petition for assisted outpatient behavioral health treatment following a period of inpatient detention in appropriate circumstances:</w:t>
      </w:r>
    </w:p>
    <w:p>
      <w:pPr>
        <w:spacing w:before="0" w:after="0" w:line="408" w:lineRule="exact"/>
        <w:ind w:left="0" w:right="0" w:firstLine="576"/>
        <w:jc w:val="left"/>
      </w:pPr>
      <w:r>
        <w:rPr/>
        <w:t xml:space="preserve">(1) The designated crisis responder must personally interview the person, unless the person refuses an interview, and determine whether the person will voluntarily receive appropriate evaluation and treatment at a mental health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must investigate and evaluate the specific facts alleged and the reliability or credibility of any person providing information. The designated crisis responder may spend up to forty-eight hours to complete the investigation, provided that the person may not be held for investigation for any period except as authorized by RCW 71.05.050 or 71.05.153.</w:t>
      </w:r>
    </w:p>
    <w:p>
      <w:pPr>
        <w:spacing w:before="0" w:after="0" w:line="408" w:lineRule="exact"/>
        <w:ind w:left="0" w:right="0" w:firstLine="576"/>
        <w:jc w:val="left"/>
      </w:pPr>
      <w:r>
        <w:rPr/>
        <w:t xml:space="preserve">(3) If the designated crisis responder finds that the person is in need of assisted outpatient behavioral health treatment, they may file a petition requesting the court to enter an order for up to ninety days </w:t>
      </w:r>
      <w:r>
        <w:t>((</w:t>
      </w:r>
      <w:r>
        <w:rPr>
          <w:strike/>
        </w:rPr>
        <w:t xml:space="preserve">[of]</w:t>
      </w:r>
      <w:r>
        <w:t>))</w:t>
      </w:r>
      <w:r>
        <w:rPr/>
        <w:t xml:space="preserve"> </w:t>
      </w:r>
      <w:r>
        <w:rPr>
          <w:u w:val="single"/>
        </w:rPr>
        <w:t xml:space="preserve">of</w:t>
      </w:r>
      <w:r>
        <w:rPr/>
        <w:t xml:space="preserve"> less restrictive alternative treatment. The petition must include:</w:t>
      </w:r>
    </w:p>
    <w:p>
      <w:pPr>
        <w:spacing w:before="0" w:after="0" w:line="408" w:lineRule="exact"/>
        <w:ind w:left="0" w:right="0" w:firstLine="576"/>
        <w:jc w:val="left"/>
      </w:pPr>
      <w:r>
        <w:rPr/>
        <w:t xml:space="preserve">(a) A statement of the circumstances under which the person's condition was made known and stating that there is evidence, as a result of the designated crisis responder's personal observation or investigation, that the person is in need of assisted outpatient behavioral health treatment, and stating the specific facts known as a result of personal observation or investigation, upon which the designated crisis responder bases this belief;</w:t>
      </w:r>
    </w:p>
    <w:p>
      <w:pPr>
        <w:spacing w:before="0" w:after="0" w:line="408" w:lineRule="exact"/>
        <w:ind w:left="0" w:right="0" w:firstLine="576"/>
        <w:jc w:val="left"/>
      </w:pPr>
      <w:r>
        <w:rPr/>
        <w:t xml:space="preserve">(b) The declaration of additional witnesses, if any, supporting the petition for assisted outpatient behavioral health treatment;</w:t>
      </w:r>
    </w:p>
    <w:p>
      <w:pPr>
        <w:spacing w:before="0" w:after="0" w:line="408" w:lineRule="exact"/>
        <w:ind w:left="0" w:right="0" w:firstLine="576"/>
        <w:jc w:val="left"/>
      </w:pPr>
      <w:r>
        <w:rPr/>
        <w:t xml:space="preserve">(c) A designation of retained counsel for the person or, if counsel is appointed, the name, business address, and telephone number of the attorney appointed to represent the person;</w:t>
      </w:r>
    </w:p>
    <w:p>
      <w:pPr>
        <w:spacing w:before="0" w:after="0" w:line="408" w:lineRule="exact"/>
        <w:ind w:left="0" w:right="0" w:firstLine="576"/>
        <w:jc w:val="left"/>
      </w:pPr>
      <w:r>
        <w:rPr/>
        <w:t xml:space="preserve">(d) The name of an agency or facility which agreed to assume the responsibility of providing less restrictive alternative treatment if the petition is granted by the court;</w:t>
      </w:r>
    </w:p>
    <w:p>
      <w:pPr>
        <w:spacing w:before="0" w:after="0" w:line="408" w:lineRule="exact"/>
        <w:ind w:left="0" w:right="0" w:firstLine="576"/>
        <w:jc w:val="left"/>
      </w:pPr>
      <w:r>
        <w:rPr/>
        <w:t xml:space="preserve">(e) A summons to appear in court at a specific time and place within five judicial days for a probable cause hearing, except as provided in subsection (4) of this section.</w:t>
      </w:r>
    </w:p>
    <w:p>
      <w:pPr>
        <w:spacing w:before="0" w:after="0" w:line="408" w:lineRule="exact"/>
        <w:ind w:left="0" w:right="0" w:firstLine="576"/>
        <w:jc w:val="left"/>
      </w:pPr>
      <w:r>
        <w:rPr/>
        <w:t xml:space="preserve">(4) If the person is in the custody of jail or prison at the time of the investigation, a petition for assisted outpatient behavioral health treatment may be used to facilitate continuity of care after release from custody or the diversion of criminal charges as follows:</w:t>
      </w:r>
    </w:p>
    <w:p>
      <w:pPr>
        <w:spacing w:before="0" w:after="0" w:line="408" w:lineRule="exact"/>
        <w:ind w:left="0" w:right="0" w:firstLine="576"/>
        <w:jc w:val="left"/>
      </w:pPr>
      <w:r>
        <w:rPr/>
        <w:t xml:space="preserve">(a) If the petition is filed in anticipation of the person's release from custody, the summons may be for a date up to five judicial days following the person's anticipated release date, provided that a clear time and place for the hearing is provided; or</w:t>
      </w:r>
    </w:p>
    <w:p>
      <w:pPr>
        <w:spacing w:before="0" w:after="0" w:line="408" w:lineRule="exact"/>
        <w:ind w:left="0" w:right="0" w:firstLine="576"/>
        <w:jc w:val="left"/>
      </w:pPr>
      <w:r>
        <w:rPr/>
        <w:t xml:space="preserve">(b) The hearing may be held prior to the person's release from custody, provided that (i) the filing of the petition does not extend the time the person would otherwise spend in the custody of jail or prison; (ii) the charges or custody of the person is not a pretext to detain the person for the purpose of the involuntary commitment hearing; and (iii) the person's release from custody must be expected to swiftly follow the adjudication of the petition. In this circumstance, the time for hearing is shortened to three judicial days after the filing of the petition.</w:t>
      </w:r>
    </w:p>
    <w:p>
      <w:pPr>
        <w:spacing w:before="0" w:after="0" w:line="408" w:lineRule="exact"/>
        <w:ind w:left="0" w:right="0" w:firstLine="576"/>
        <w:jc w:val="left"/>
      </w:pPr>
      <w:r>
        <w:rPr/>
        <w:t xml:space="preserve">(5) The petition must be served upon the person and the person's counsel with a notice of applicable rights. Proof of service must be filed with the court.</w:t>
      </w:r>
    </w:p>
    <w:p>
      <w:pPr>
        <w:spacing w:before="0" w:after="0" w:line="408" w:lineRule="exact"/>
        <w:ind w:left="0" w:right="0" w:firstLine="576"/>
        <w:jc w:val="left"/>
      </w:pPr>
      <w:r>
        <w:rPr/>
        <w:t xml:space="preserve">(6) A petition for assisted outpatient behavioral health treatment filed under this section must be adjudicated under RCW 71.05.240.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2016 sp.s. c 29 s 208 and 2016 c 158 s 4 are each reenacted and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mental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or certified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or certified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(5) No licensed or certified behavioral health service provider may advertise or represent itself as a licensed or certified behavioral health service provider if approval has not been granted, has been denied, suspended, revoked, or canceled.</w:t>
      </w:r>
    </w:p>
    <w:p>
      <w:pPr>
        <w:spacing w:before="0" w:after="0" w:line="408" w:lineRule="exact"/>
        <w:ind w:left="0" w:right="0" w:firstLine="576"/>
        <w:jc w:val="left"/>
      </w:pPr>
      <w:r>
        <w:rPr/>
        <w:t xml:space="preserve">(6)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w:t>
      </w:r>
      <w:r>
        <w:rPr>
          <w:u w:val="single"/>
        </w:rPr>
        <w:t xml:space="preserve">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t>
      </w:r>
      <w:r>
        <w:t>((</w:t>
      </w:r>
      <w:r>
        <w:rPr>
          <w:strike/>
        </w:rPr>
        <w:t xml:space="preserve">detoxification</w:t>
      </w:r>
      <w:r>
        <w:t>))</w:t>
      </w:r>
      <w:r>
        <w:rPr/>
        <w:t xml:space="preserve"> </w:t>
      </w:r>
      <w:r>
        <w:rPr>
          <w:u w:val="single"/>
        </w:rPr>
        <w:t xml:space="preserve">withdrawal management and stabilization</w:t>
      </w:r>
      <w:r>
        <w:rPr/>
        <w:t xml:space="preserve">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w:t>
      </w:r>
      <w:r>
        <w:t>((</w:t>
      </w:r>
      <w:r>
        <w:rPr>
          <w:strike/>
        </w:rPr>
        <w:t xml:space="preserve">detoxification</w:t>
      </w:r>
      <w:r>
        <w:t>))</w:t>
      </w:r>
      <w:r>
        <w:rPr/>
        <w:t xml:space="preserve"> </w:t>
      </w:r>
      <w:r>
        <w:rPr>
          <w:u w:val="single"/>
        </w:rPr>
        <w:t xml:space="preserve">withdrawal management and stabilization</w:t>
      </w:r>
      <w:r>
        <w:rPr/>
        <w:t xml:space="preserve"> facility" means a facility operated by either a public or private agency or by the program of an agency </w:t>
      </w:r>
      <w:r>
        <w:t>((</w:t>
      </w:r>
      <w:r>
        <w:rPr>
          <w:strike/>
        </w:rPr>
        <w:t xml:space="preserve">that</w:t>
      </w:r>
      <w:r>
        <w:t>))</w:t>
      </w:r>
      <w:r>
        <w:rPr/>
        <w:t xml:space="preserve"> </w:t>
      </w:r>
      <w:r>
        <w:rPr>
          <w:u w:val="single"/>
        </w:rPr>
        <w:t xml:space="preserve">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r>
        <w:rPr/>
        <w:t xml:space="preserve">:</w:t>
      </w:r>
    </w:p>
    <w:p>
      <w:pPr>
        <w:spacing w:before="0" w:after="0" w:line="408" w:lineRule="exact"/>
        <w:ind w:left="0" w:right="0" w:firstLine="576"/>
        <w:jc w:val="left"/>
      </w:pPr>
      <w:r>
        <w:rPr/>
        <w:t xml:space="preserve">(a) </w:t>
      </w:r>
      <w:r>
        <w:t>((</w:t>
      </w:r>
      <w:r>
        <w:rPr>
          <w:strike/>
        </w:rPr>
        <w:t xml:space="preserve">Provides for intoxicated minors</w:t>
      </w:r>
      <w:r>
        <w:t>))</w:t>
      </w:r>
      <w:r>
        <w:rPr/>
        <w:t xml:space="preserve"> </w:t>
      </w:r>
      <w:r>
        <w:rPr>
          <w:u w:val="single"/>
        </w:rPr>
        <w:t xml:space="preserve">Provide the following services</w:t>
      </w:r>
      <w:r>
        <w:rPr/>
        <w:t xml:space="preserve">:</w:t>
      </w:r>
    </w:p>
    <w:p>
      <w:pPr>
        <w:spacing w:before="0" w:after="0" w:line="408" w:lineRule="exact"/>
        <w:ind w:left="0" w:right="0" w:firstLine="576"/>
        <w:jc w:val="left"/>
      </w:pPr>
      <w:r>
        <w:rPr/>
        <w:t xml:space="preserve">(i) </w:t>
      </w:r>
      <w:r>
        <w:t>((</w:t>
      </w:r>
      <w:r>
        <w:rPr>
          <w:strike/>
        </w:rPr>
        <w:t xml:space="preserve">Evaluation and</w:t>
      </w:r>
      <w:r>
        <w:t>))</w:t>
      </w:r>
      <w:r>
        <w:rPr/>
        <w:t xml:space="preserve"> </w:t>
      </w:r>
      <w:r>
        <w:rPr>
          <w:u w:val="single"/>
        </w:rPr>
        <w:t xml:space="preserve">A</w:t>
      </w:r>
      <w:r>
        <w:rPr/>
        <w:t xml:space="preserve">ssessment </w:t>
      </w:r>
      <w:r>
        <w:rPr>
          <w:u w:val="single"/>
        </w:rPr>
        <w:t xml:space="preserve">and treatment</w:t>
      </w:r>
      <w:r>
        <w:rPr/>
        <w:t xml:space="preserve">, provided by certified chemical dependency professionals;</w:t>
      </w:r>
    </w:p>
    <w:p>
      <w:pPr>
        <w:spacing w:before="0" w:after="0" w:line="408" w:lineRule="exact"/>
        <w:ind w:left="0" w:right="0" w:firstLine="576"/>
        <w:jc w:val="left"/>
      </w:pPr>
      <w:r>
        <w:rPr/>
        <w:t xml:space="preserve">(ii) </w:t>
      </w:r>
      <w:r>
        <w:rPr>
          <w:u w:val="single"/>
        </w:rPr>
        <w:t xml:space="preserve">Clinical stabilization services;</w:t>
      </w:r>
    </w:p>
    <w:p>
      <w:pPr>
        <w:spacing w:before="0" w:after="0" w:line="408" w:lineRule="exact"/>
        <w:ind w:left="0" w:right="0" w:firstLine="576"/>
        <w:jc w:val="left"/>
      </w:pPr>
      <w:r>
        <w:rPr>
          <w:u w:val="single"/>
        </w:rPr>
        <w:t xml:space="preserve">(iii)</w:t>
      </w:r>
      <w:r>
        <w:rPr/>
        <w:t xml:space="preserve"> Acute or subacute detoxification services </w:t>
      </w:r>
      <w:r>
        <w:rPr>
          <w:u w:val="single"/>
        </w:rPr>
        <w:t xml:space="preserve">for intoxicated individuals</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Discharge assistance provided by certified chemical dependency professionals, including facilitating transitions to appropriate voluntary or involuntary inpatient services or to less restrictive alternatives as appropriate for the </w:t>
      </w:r>
      <w:r>
        <w:t>((</w:t>
      </w:r>
      <w:r>
        <w:rPr>
          <w:strike/>
        </w:rPr>
        <w:t xml:space="preserve">minor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(b) Include</w:t>
      </w:r>
      <w:r>
        <w:t>((</w:t>
      </w:r>
      <w:r>
        <w:rPr>
          <w:strike/>
        </w:rPr>
        <w:t xml:space="preserve">s</w:t>
      </w:r>
      <w:r>
        <w:t>))</w:t>
      </w:r>
      <w:r>
        <w:rPr/>
        <w:t xml:space="preserve"> security measures sufficient to protect the patients, staff, and community; and</w:t>
      </w:r>
    </w:p>
    <w:p>
      <w:pPr>
        <w:spacing w:before="0" w:after="0" w:line="408" w:lineRule="exact"/>
        <w:ind w:left="0" w:right="0" w:firstLine="576"/>
        <w:jc w:val="left"/>
      </w:pPr>
      <w:r>
        <w:rPr/>
        <w:t xml:space="preserve">(c) </w:t>
      </w:r>
      <w:r>
        <w:t>((</w:t>
      </w:r>
      <w:r>
        <w:rPr>
          <w:strike/>
        </w:rPr>
        <w:t xml:space="preserve">Is</w:t>
      </w:r>
      <w:r>
        <w:t>))</w:t>
      </w:r>
      <w:r>
        <w:rPr/>
        <w:t xml:space="preserve"> </w:t>
      </w:r>
      <w:r>
        <w:rPr>
          <w:u w:val="single"/>
        </w:rPr>
        <w:t xml:space="preserve">Be</w:t>
      </w:r>
      <w:r>
        <w:rPr/>
        <w:t xml:space="preserve">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2018 c 201 s 5005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w:t>
      </w:r>
      <w:r>
        <w:t>((</w:t>
      </w:r>
      <w:r>
        <w:rPr>
          <w:strike/>
        </w:rPr>
        <w:t xml:space="preserve">detoxification</w:t>
      </w:r>
      <w:r>
        <w:t>))</w:t>
      </w:r>
      <w:r>
        <w:rPr/>
        <w:t xml:space="preserve"> </w:t>
      </w:r>
      <w:r>
        <w:rPr>
          <w:u w:val="single"/>
        </w:rPr>
        <w:t xml:space="preserve">withdrawal management and stabilization</w:t>
      </w:r>
      <w:r>
        <w:rPr/>
        <w:t xml:space="preserve">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of health shall produce, and make available, the written notification that must include, at a minimum, the information contained in subsection (2) of this section. The department of health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2018 c 201 s 3020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2016 sp.s. c 29 s 259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w:t>
      </w:r>
      <w:r>
        <w:t>((</w:t>
      </w:r>
      <w:r>
        <w:rPr>
          <w:strike/>
        </w:rPr>
        <w:t xml:space="preserve">detoxification</w:t>
      </w:r>
      <w:r>
        <w:t>))</w:t>
      </w:r>
      <w:r>
        <w:rPr/>
        <w:t xml:space="preserve"> </w:t>
      </w:r>
      <w:r>
        <w:rPr>
          <w:u w:val="single"/>
        </w:rPr>
        <w:t xml:space="preserve">withdrawal management and stabilization</w:t>
      </w:r>
      <w:r>
        <w:rPr/>
        <w:t xml:space="preserve">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authority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t xml:space="preserve">A minor child shall have no cause of action against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with available space,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w:t>
      </w:r>
      <w:r>
        <w:t>((</w:t>
      </w:r>
      <w:r>
        <w:rPr>
          <w:strike/>
        </w:rPr>
        <w:t xml:space="preserve">detoxification</w:t>
      </w:r>
      <w:r>
        <w:t>))</w:t>
      </w:r>
      <w:r>
        <w:rPr/>
        <w:t xml:space="preserve"> </w:t>
      </w:r>
      <w:r>
        <w:rPr>
          <w:u w:val="single"/>
        </w:rPr>
        <w:t xml:space="preserve">withdrawal management and stabilization</w:t>
      </w:r>
      <w:r>
        <w:rPr/>
        <w:t xml:space="preserve">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is available and has adequate space for the minor.</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Subject to subsection (5) of this section,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A designated crisis responder may not petition for detention of a minor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(6)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 however a minor may only be referred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2016 sp.s. c 29 s 273 and 2016 c 155 s 20 are each reenacted and amended to read as follows:</w:t>
      </w:r>
    </w:p>
    <w:p>
      <w:pPr>
        <w:spacing w:before="0" w:after="0" w:line="408" w:lineRule="exact"/>
        <w:ind w:left="0" w:right="0" w:firstLine="576"/>
        <w:jc w:val="left"/>
      </w:pPr>
      <w:r>
        <w:rPr/>
        <w:t xml:space="preserve">(1) The professional person in charge of an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w:t>
      </w:r>
      <w:r>
        <w:t>((</w:t>
      </w:r>
      <w:r>
        <w:rPr>
          <w:strike/>
        </w:rPr>
        <w:t xml:space="preserve">Two physicians; (ii) one physician and a mental health professional; (iii) one physician assistant and a mental health professional; or (iv) one psychiatric advanced registered nurse practitioner and a mental health professional</w:t>
      </w:r>
      <w:r>
        <w:t>))</w:t>
      </w:r>
      <w:r>
        <w:rPr/>
        <w:t xml:space="preserve"> </w:t>
      </w:r>
      <w:r>
        <w:rPr>
          <w:u w:val="single"/>
        </w:rPr>
        <w:t xml:space="preserve">One physician, physician assistant, or psychiatric advanced registered nurse practitioner; and</w:t>
      </w:r>
    </w:p>
    <w:p>
      <w:pPr>
        <w:spacing w:before="0" w:after="0" w:line="408" w:lineRule="exact"/>
        <w:ind w:left="0" w:right="0" w:firstLine="576"/>
        <w:jc w:val="left"/>
      </w:pPr>
      <w:r>
        <w:rPr>
          <w:u w:val="single"/>
        </w:rPr>
        <w:t xml:space="preserve">(ii) One physician, physician assistant, psychiatric advanced registered nurse practitioner, or mental health professional.</w:t>
      </w:r>
    </w:p>
    <w:p>
      <w:pPr>
        <w:spacing w:before="0" w:after="0" w:line="408" w:lineRule="exact"/>
        <w:ind w:left="0" w:right="0" w:firstLine="576"/>
        <w:jc w:val="left"/>
      </w:pPr>
      <w:r>
        <w:rPr>
          <w:u w:val="single"/>
        </w:rPr>
        <w:t xml:space="preserve">(b)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 signing the petition must have examined the minor, and the petition must contain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name and address of the petitioner;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name of the minor alleged to meet the criteria for fourteen-day commitment;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name, telephone number, and address if known of every person believed by the petitioner to be legally responsible for the minor;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statement that the minor has been advised of the need for voluntary treatment but has been unwilling or unable to consent to necessary treatment;</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If the petition is for mental health treatment, a statement that the minor has been advised of the loss of firearm rights if involuntarily committed;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 statement recommending the appropriate facility or facilities to provide the necessary treatment; and</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A statement concerning whether a less restrictive alternative to inpatient treatment is in the best interests of the minor.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274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with adequate space for the minor.</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sp.s. c 29 s 275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w:t>
      </w:r>
      <w:r>
        <w:rPr>
          <w:u w:val="single"/>
        </w:rPr>
        <w:t xml:space="preserve">.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if there is an available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unless there is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2018 c 201 s 5021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if committed for mental health treatment, be taken into custody and transported to an inpatient evaluation and treatment facility or, if committed for substance use disorder treatment, be taken into custody and transported to a secure </w:t>
      </w:r>
      <w:r>
        <w:t>((</w:t>
      </w:r>
      <w:r>
        <w:rPr>
          <w:strike/>
        </w:rPr>
        <w:t xml:space="preserve">detoxification</w:t>
      </w:r>
      <w:r>
        <w:t>))</w:t>
      </w:r>
      <w:r>
        <w:rPr/>
        <w:t xml:space="preserve"> </w:t>
      </w:r>
      <w:r>
        <w:rPr>
          <w:u w:val="single"/>
        </w:rPr>
        <w:t xml:space="preserve">withdrawal management and stabilization</w:t>
      </w:r>
      <w:r>
        <w:rPr/>
        <w:t xml:space="preserve"> facility or approved substance use disorder treatment program.</w:t>
      </w:r>
    </w:p>
    <w:p>
      <w:pPr>
        <w:spacing w:before="0" w:after="0" w:line="408" w:lineRule="exact"/>
        <w:ind w:left="0" w:right="0" w:firstLine="576"/>
        <w:jc w:val="left"/>
      </w:pPr>
      <w:r>
        <w:rPr/>
        <w:t xml:space="preserve">(2) The designated crisis responder or the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or secretary, as appropriate,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person's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registration under this chapter for a position as an agency affiliated counselor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45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2013 c 338 s 6 are each amended to read as follows:</w:t>
      </w:r>
    </w:p>
    <w:p>
      <w:pPr>
        <w:spacing w:before="0" w:after="0" w:line="408" w:lineRule="exact"/>
        <w:ind w:left="0" w:right="0" w:firstLine="576"/>
        <w:jc w:val="left"/>
      </w:pPr>
      <w:r>
        <w:rPr/>
        <w:t xml:space="preserve">(1)(a) An applicant for registration as an agency affiliated counselor who applies to the department within </w:t>
      </w:r>
      <w:r>
        <w:t>((</w:t>
      </w:r>
      <w:r>
        <w:rPr>
          <w:strike/>
        </w:rPr>
        <w:t xml:space="preserve">seven</w:t>
      </w:r>
      <w:r>
        <w:t>))</w:t>
      </w:r>
      <w:r>
        <w:rPr/>
        <w:t xml:space="preserve"> </w:t>
      </w:r>
      <w:r>
        <w:rPr>
          <w:u w:val="single"/>
        </w:rPr>
        <w:t xml:space="preserve">thirty</w:t>
      </w:r>
      <w:r>
        <w:rPr/>
        <w:t xml:space="preserve"> days of employment by an agency may work as an agency affiliated counselor </w:t>
      </w:r>
      <w:r>
        <w:t>((</w:t>
      </w:r>
      <w:r>
        <w:rPr>
          <w:strike/>
        </w:rPr>
        <w:t xml:space="preserve">for up to sixty days</w:t>
      </w:r>
      <w:r>
        <w:t>))</w:t>
      </w:r>
      <w:r>
        <w:rPr/>
        <w:t xml:space="preserve"> while the application is processed. The applicant must </w:t>
      </w:r>
      <w:r>
        <w:t>((</w:t>
      </w:r>
      <w:r>
        <w:rPr>
          <w:strike/>
        </w:rPr>
        <w:t xml:space="preserve">stop working on the sixtieth day of employment if the registration has not been granted for any reason</w:t>
      </w:r>
      <w:r>
        <w:t>))</w:t>
      </w:r>
      <w:r>
        <w:rPr/>
        <w:t xml:space="preserve"> </w:t>
      </w:r>
      <w:r>
        <w:rPr>
          <w:u w:val="single"/>
        </w:rPr>
        <w:t xml:space="preserve">provide required documentation within reasonable time limits established by the department, and if the applicant does not do so, the applicant must stop working</w:t>
      </w:r>
      <w:r>
        <w:rPr/>
        <w:t xml:space="preserve">.</w:t>
      </w:r>
    </w:p>
    <w:p>
      <w:pPr>
        <w:spacing w:before="0" w:after="0" w:line="408" w:lineRule="exact"/>
        <w:ind w:left="0" w:right="0" w:firstLine="576"/>
        <w:jc w:val="left"/>
      </w:pPr>
      <w:r>
        <w:rPr/>
        <w:t xml:space="preserve">(b) The applicant may not provide unsupervised counseling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"Peer support services" means services authorized under RCW 71.24.385 which are delivered by individuals who have common life experiences with the people they are serving.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administer a peer counselor certification program to support the delivery of peer support services in Washington state.</w:t>
      </w:r>
    </w:p>
    <w:p>
      <w:pPr>
        <w:spacing w:before="0" w:after="0" w:line="408" w:lineRule="exact"/>
        <w:ind w:left="0" w:right="0" w:firstLine="576"/>
        <w:jc w:val="left"/>
      </w:pPr>
      <w:r>
        <w:rPr/>
        <w:t xml:space="preserve">(2) By July 1, 2019, the authority shall incorporate education and training for substance use disorder peers in its peer counselor certification program.</w:t>
      </w:r>
    </w:p>
    <w:p>
      <w:pPr>
        <w:spacing w:before="0" w:after="0" w:line="408" w:lineRule="exact"/>
        <w:ind w:left="0" w:right="0" w:firstLine="576"/>
        <w:jc w:val="left"/>
      </w:pPr>
      <w:r>
        <w:rPr/>
        <w:t xml:space="preserve">(3) By July 1, 2019, the authority must include reimbursement for peer support services by substance use disorder peers in its behavioral health capitation rates and allow for federal matching funds, consistent with the directive enacted in section 213(5)(ss), chapter 299, Laws of 2018 (ESSB 6032).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an adequate workforce of peer counselors, the authority must approve entities to perform specialized peer training for peer counselor certification using the state curriculum upon request if the entity meets qualifications to perform the training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cooperate with the department of health to complete the sunrise review required under section 52 of this act.</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conduct a sunrise review under chapter 18.120 RCW to evaluate transfer of the peer support counselor certification program under this chapter to the department of health with modifications to allow the program to become a license or certification under the oversight of the department of health subject to oversight, structure, discipline, and continuing education requirements typical of other programs related to behavioral health administered by the department of health. The plan for modification of the program must allow for grandfathering of current individuals who hold the peer support counselor certification. The sunrise review must evaluate the effect of these modifications on professionalism, portability, scope of practice, approved practice locations, workforce, bidirectional integration, and appropriate deployment of peer support services throughout the health system.</w:t>
      </w:r>
    </w:p>
    <w:p>
      <w:pPr>
        <w:spacing w:before="0" w:after="0" w:line="408" w:lineRule="exact"/>
        <w:ind w:left="0" w:right="0" w:firstLine="576"/>
        <w:jc w:val="left"/>
      </w:pPr>
      <w:r>
        <w:rPr/>
        <w:t xml:space="preserve">(2) The department of health shall conduct a sunrise review under chapter 18.120 RCW to evaluate the need for creation of an advanced peer support specialist credential to provide a license to perform peer support services in the areas of mental health, substance use disorders, and forensic behavioral health. The requirements for this credential must be accessible to persons in recovery and:</w:t>
      </w:r>
    </w:p>
    <w:p>
      <w:pPr>
        <w:spacing w:before="0" w:after="0" w:line="408" w:lineRule="exact"/>
        <w:ind w:left="0" w:right="0" w:firstLine="576"/>
        <w:jc w:val="left"/>
      </w:pPr>
      <w:r>
        <w:rPr/>
        <w:t xml:space="preserve">(a) Integrate with and complement the attributes of the peer counselor certification program administered by the Washington state health care authority under section 48 of this act;</w:t>
      </w:r>
    </w:p>
    <w:p>
      <w:pPr>
        <w:spacing w:before="0" w:after="0" w:line="408" w:lineRule="exact"/>
        <w:ind w:left="0" w:right="0" w:firstLine="576"/>
        <w:jc w:val="left"/>
      </w:pPr>
      <w:r>
        <w:rPr/>
        <w:t xml:space="preserve">(b) Provide education, experience, and training requirements that are more stringent than the requirements for the peer counselor certification program but less extensive than the requirements for licensure or certification under other credentials related to behavioral health which are administered by the department of health;</w:t>
      </w:r>
    </w:p>
    <w:p>
      <w:pPr>
        <w:spacing w:before="0" w:after="0" w:line="408" w:lineRule="exact"/>
        <w:ind w:left="0" w:right="0" w:firstLine="576"/>
        <w:jc w:val="left"/>
      </w:pPr>
      <w:r>
        <w:rPr/>
        <w:t xml:space="preserve">(c) Provide oversight, structure, discipline, and continuing education requirements typical for other professional licenses and certifications;</w:t>
      </w:r>
    </w:p>
    <w:p>
      <w:pPr>
        <w:spacing w:before="0" w:after="0" w:line="408" w:lineRule="exact"/>
        <w:ind w:left="0" w:right="0" w:firstLine="576"/>
        <w:jc w:val="left"/>
      </w:pPr>
      <w:r>
        <w:rPr/>
        <w:t xml:space="preserve">(d) Allow advanced peer support specialists to maximize the scope of practice suitable to their skills, lived experience, education, and training;</w:t>
      </w:r>
    </w:p>
    <w:p>
      <w:pPr>
        <w:spacing w:before="0" w:after="0" w:line="408" w:lineRule="exact"/>
        <w:ind w:left="0" w:right="0" w:firstLine="576"/>
        <w:jc w:val="left"/>
      </w:pPr>
      <w:r>
        <w:rPr/>
        <w:t xml:space="preserve">(e) Allow advanced peer support specialists to practice and receive reimbursement in behavioral health capitation rates in the full range of settings in which clients receive behavioral health services which are appropriate for their participation;</w:t>
      </w:r>
    </w:p>
    <w:p>
      <w:pPr>
        <w:spacing w:before="0" w:after="0" w:line="408" w:lineRule="exact"/>
        <w:ind w:left="0" w:right="0" w:firstLine="576"/>
        <w:jc w:val="left"/>
      </w:pPr>
      <w:r>
        <w:rPr/>
        <w:t xml:space="preserve">(f) Provide a path for career progression to more advanced credentials for those who are interested in pursuing them; and</w:t>
      </w:r>
    </w:p>
    <w:p>
      <w:pPr>
        <w:spacing w:before="0" w:after="0" w:line="408" w:lineRule="exact"/>
        <w:ind w:left="0" w:right="0" w:firstLine="576"/>
        <w:jc w:val="left"/>
      </w:pPr>
      <w:r>
        <w:rPr/>
        <w:t xml:space="preserve">(g) Incorporate consideration of common barriers to certification and licensure related to criminal history and recovery from behavioral health disorders experienced by peers and accommodate applicants who have these lived experiences to the greatest extent consistent with prudence and client safety.</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48 through 53 of this act are necessary for the immediate preservation of the public peace, health, or safety, or support of the state government and its existing public institutions, and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6, 8, 11, 14, 30, 32, 34, 37, 39, and 41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7, 9, 12, 15, 31, 33, 35, 38, 40, and 42 of this act take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b880a70a771045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97f94c93045c4" /><Relationship Type="http://schemas.openxmlformats.org/officeDocument/2006/relationships/footer" Target="/word/footer1.xml" Id="Rb880a70a771045ac" /></Relationships>
</file>